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3E46A" w14:textId="35021903" w:rsidR="00F75B3C" w:rsidRPr="0049264E" w:rsidRDefault="00F75B3C" w:rsidP="00F75B3C">
      <w:pPr>
        <w:pStyle w:val="CRCoverPage"/>
        <w:rPr>
          <w:b/>
          <w:sz w:val="24"/>
          <w:lang w:val="en-US" w:eastAsia="zh-CN"/>
        </w:rPr>
      </w:pPr>
      <w:r w:rsidRPr="0049264E">
        <w:rPr>
          <w:b/>
          <w:sz w:val="24"/>
          <w:lang w:val="en-US" w:eastAsia="zh-CN"/>
        </w:rPr>
        <w:t xml:space="preserve">3GPP TSG-RAN WG2 Meeting #112- </w:t>
      </w:r>
      <w:r>
        <w:rPr>
          <w:b/>
          <w:sz w:val="24"/>
          <w:lang w:val="en-US" w:eastAsia="zh-CN"/>
        </w:rPr>
        <w:t>electronic</w:t>
      </w:r>
      <w:r>
        <w:rPr>
          <w:b/>
          <w:sz w:val="24"/>
          <w:lang w:val="en-US" w:eastAsia="zh-CN"/>
        </w:rPr>
        <w:tab/>
      </w:r>
      <w:r>
        <w:rPr>
          <w:b/>
          <w:sz w:val="24"/>
          <w:lang w:val="en-US" w:eastAsia="zh-CN"/>
        </w:rPr>
        <w:tab/>
      </w:r>
      <w:r>
        <w:rPr>
          <w:b/>
          <w:sz w:val="24"/>
          <w:lang w:val="en-US" w:eastAsia="zh-CN"/>
        </w:rPr>
        <w:tab/>
      </w:r>
      <w:r>
        <w:rPr>
          <w:b/>
          <w:sz w:val="24"/>
          <w:lang w:val="en-US" w:eastAsia="zh-CN"/>
        </w:rPr>
        <w:tab/>
      </w:r>
      <w:r w:rsidR="00B071EA" w:rsidRPr="00B071EA">
        <w:rPr>
          <w:b/>
          <w:sz w:val="24"/>
          <w:lang w:val="en-US" w:eastAsia="zh-CN"/>
        </w:rPr>
        <w:t>R2-2009011</w:t>
      </w:r>
    </w:p>
    <w:p w14:paraId="2F3EA5A1" w14:textId="1164D347" w:rsidR="00F75B3C" w:rsidRDefault="00F75B3C" w:rsidP="00F75B3C">
      <w:pPr>
        <w:pStyle w:val="CRCoverPage"/>
        <w:rPr>
          <w:b/>
          <w:sz w:val="24"/>
          <w:lang w:val="en-US" w:eastAsia="zh-CN"/>
        </w:rPr>
      </w:pPr>
      <w:r w:rsidRPr="0049264E">
        <w:rPr>
          <w:b/>
          <w:sz w:val="24"/>
          <w:lang w:val="en-US" w:eastAsia="zh-CN"/>
        </w:rPr>
        <w:t>Electronic meeting, 2nd - 13th  November, 2020</w:t>
      </w:r>
      <w:r>
        <w:rPr>
          <w:b/>
          <w:sz w:val="24"/>
          <w:lang w:val="en-US" w:eastAsia="zh-CN"/>
        </w:rPr>
        <w:tab/>
      </w:r>
    </w:p>
    <w:p w14:paraId="640A10B3" w14:textId="77777777" w:rsidR="00F75B3C" w:rsidRPr="0049264E" w:rsidRDefault="00F75B3C" w:rsidP="00F75B3C">
      <w:pPr>
        <w:pStyle w:val="CRCoverPage"/>
        <w:rPr>
          <w:b/>
          <w:sz w:val="24"/>
          <w:lang w:val="en-US" w:eastAsia="zh-CN"/>
        </w:rPr>
      </w:pPr>
    </w:p>
    <w:p w14:paraId="372F5655" w14:textId="6173CAE8"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280784">
        <w:rPr>
          <w:rFonts w:cs="Arial"/>
          <w:bCs/>
          <w:sz w:val="24"/>
          <w:lang w:val="en-US"/>
        </w:rPr>
        <w:t>8.12.3</w:t>
      </w:r>
    </w:p>
    <w:p w14:paraId="2E0FC3EF"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13392CE8"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F75B3C" w:rsidRPr="00F75B3C">
        <w:rPr>
          <w:rFonts w:ascii="Arial" w:hAnsi="Arial" w:cs="Arial"/>
          <w:bCs/>
          <w:sz w:val="24"/>
        </w:rPr>
        <w:t>Support of extend paging DRX cycle for Inactive UE</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69445B4A" w14:textId="77777777" w:rsidR="00F75B3C" w:rsidRDefault="00F75B3C" w:rsidP="004854BF">
      <w:pPr>
        <w:tabs>
          <w:tab w:val="left" w:pos="1327"/>
        </w:tabs>
        <w:spacing w:after="60"/>
        <w:jc w:val="both"/>
        <w:rPr>
          <w:lang w:val="en-GB"/>
        </w:rPr>
      </w:pPr>
      <w:bookmarkStart w:id="0" w:name="Proposal_Pattern_Length"/>
      <w:r>
        <w:rPr>
          <w:lang w:val="en-GB"/>
        </w:rPr>
        <w:t>Based on [1], RAN2 discussed the support of extend paging DRX cycle and agreed:</w:t>
      </w:r>
    </w:p>
    <w:p w14:paraId="19B7F2A6" w14:textId="77777777" w:rsidR="00F75B3C" w:rsidRDefault="00F75B3C" w:rsidP="00F75B3C">
      <w:pPr>
        <w:pStyle w:val="Doc-text2"/>
        <w:pBdr>
          <w:top w:val="single" w:sz="4" w:space="1" w:color="auto"/>
          <w:left w:val="single" w:sz="4" w:space="4" w:color="auto"/>
          <w:bottom w:val="single" w:sz="4" w:space="1" w:color="auto"/>
          <w:right w:val="single" w:sz="4" w:space="4" w:color="auto"/>
        </w:pBdr>
      </w:pPr>
      <w:r>
        <w:t>Agreements:</w:t>
      </w:r>
    </w:p>
    <w:p w14:paraId="40E488A5" w14:textId="77777777" w:rsidR="00F75B3C" w:rsidRDefault="00F75B3C" w:rsidP="00F75B3C">
      <w:pPr>
        <w:pStyle w:val="Doc-text2"/>
        <w:numPr>
          <w:ilvl w:val="0"/>
          <w:numId w:val="13"/>
        </w:numPr>
        <w:pBdr>
          <w:top w:val="single" w:sz="4" w:space="1" w:color="auto"/>
          <w:left w:val="single" w:sz="4" w:space="4" w:color="auto"/>
          <w:bottom w:val="single" w:sz="4" w:space="1" w:color="auto"/>
          <w:right w:val="single" w:sz="4" w:space="4" w:color="auto"/>
        </w:pBdr>
      </w:pPr>
      <w:r>
        <w:t xml:space="preserve">RAN2 study </w:t>
      </w:r>
      <w:proofErr w:type="spellStart"/>
      <w:r>
        <w:t>eDRX</w:t>
      </w:r>
      <w:proofErr w:type="spellEnd"/>
      <w:r>
        <w:t xml:space="preserve"> mechanism for both RRC_IDLE and RRC_INACTIVE in this SI. ‎</w:t>
      </w:r>
    </w:p>
    <w:p w14:paraId="1A5B0094" w14:textId="77777777" w:rsidR="00F75B3C" w:rsidRDefault="00F75B3C" w:rsidP="00F75B3C">
      <w:pPr>
        <w:pStyle w:val="Doc-text2"/>
        <w:numPr>
          <w:ilvl w:val="0"/>
          <w:numId w:val="13"/>
        </w:numPr>
        <w:pBdr>
          <w:top w:val="single" w:sz="4" w:space="1" w:color="auto"/>
          <w:left w:val="single" w:sz="4" w:space="4" w:color="auto"/>
          <w:bottom w:val="single" w:sz="4" w:space="1" w:color="auto"/>
          <w:right w:val="single" w:sz="4" w:space="4" w:color="auto"/>
        </w:pBdr>
      </w:pPr>
      <w:r>
        <w:t xml:space="preserve">For RRC_INACTIVE, the DRX cycle is extended to 10.24s as baseline. </w:t>
      </w:r>
    </w:p>
    <w:p w14:paraId="4704C7E4" w14:textId="77777777" w:rsidR="00F75B3C" w:rsidRDefault="00F75B3C" w:rsidP="00F75B3C">
      <w:pPr>
        <w:pStyle w:val="Doc-text2"/>
        <w:pBdr>
          <w:top w:val="single" w:sz="4" w:space="1" w:color="auto"/>
          <w:left w:val="single" w:sz="4" w:space="4" w:color="auto"/>
          <w:bottom w:val="single" w:sz="4" w:space="1" w:color="auto"/>
          <w:right w:val="single" w:sz="4" w:space="4" w:color="auto"/>
        </w:pBdr>
      </w:pPr>
      <w:r>
        <w:t>Agreements via email - from offline 111:</w:t>
      </w:r>
    </w:p>
    <w:p w14:paraId="1D755045" w14:textId="77777777" w:rsidR="00F75B3C" w:rsidRDefault="00F75B3C" w:rsidP="00F75B3C">
      <w:pPr>
        <w:pStyle w:val="Doc-text2"/>
        <w:numPr>
          <w:ilvl w:val="0"/>
          <w:numId w:val="14"/>
        </w:numPr>
        <w:pBdr>
          <w:top w:val="single" w:sz="4" w:space="1" w:color="auto"/>
          <w:left w:val="single" w:sz="4" w:space="4" w:color="auto"/>
          <w:bottom w:val="single" w:sz="4" w:space="1" w:color="auto"/>
          <w:right w:val="single" w:sz="4" w:space="4" w:color="auto"/>
        </w:pBdr>
      </w:pPr>
      <w:r>
        <w:t xml:space="preserve">For RRC_IDLE, the DRX cycle is at least extended to 10.24s. FFS on further extension ‎beyond 10.24s.  </w:t>
      </w:r>
    </w:p>
    <w:p w14:paraId="389523C2" w14:textId="77777777" w:rsidR="00F75B3C" w:rsidRDefault="00F75B3C" w:rsidP="00F75B3C">
      <w:pPr>
        <w:pStyle w:val="Doc-text2"/>
        <w:numPr>
          <w:ilvl w:val="0"/>
          <w:numId w:val="14"/>
        </w:numPr>
        <w:pBdr>
          <w:top w:val="single" w:sz="4" w:space="1" w:color="auto"/>
          <w:left w:val="single" w:sz="4" w:space="4" w:color="auto"/>
          <w:bottom w:val="single" w:sz="4" w:space="1" w:color="auto"/>
          <w:right w:val="single" w:sz="4" w:space="4" w:color="auto"/>
        </w:pBdr>
      </w:pPr>
      <w:r>
        <w:t>For RRC_IDLE and/or RRC_INACTIVE, if the NR DRX cycle range is extended beyond 10.24s, the LTE ‎</w:t>
      </w:r>
      <w:proofErr w:type="spellStart"/>
      <w:r>
        <w:t>eDRX</w:t>
      </w:r>
      <w:proofErr w:type="spellEnd"/>
      <w:r>
        <w:t xml:space="preserve"> mechanism beyond 10.24s (e.g., PTW, PH, etc.) is used as baseline when NR </w:t>
      </w:r>
      <w:proofErr w:type="spellStart"/>
      <w:r>
        <w:t>eDRX</w:t>
      </w:r>
      <w:proofErr w:type="spellEnd"/>
      <w:r>
        <w:t xml:space="preserve"> cycle is configured beyond 10.24s. </w:t>
      </w:r>
    </w:p>
    <w:p w14:paraId="4C89A843" w14:textId="77777777" w:rsidR="00F75B3C" w:rsidRDefault="00F75B3C" w:rsidP="00F75B3C">
      <w:pPr>
        <w:pStyle w:val="Doc-text2"/>
        <w:pBdr>
          <w:top w:val="single" w:sz="4" w:space="1" w:color="auto"/>
          <w:left w:val="single" w:sz="4" w:space="4" w:color="auto"/>
          <w:bottom w:val="single" w:sz="4" w:space="1" w:color="auto"/>
          <w:right w:val="single" w:sz="4" w:space="4" w:color="auto"/>
        </w:pBdr>
      </w:pPr>
    </w:p>
    <w:p w14:paraId="5808E390" w14:textId="77777777" w:rsidR="00F75B3C" w:rsidRDefault="00F75B3C" w:rsidP="00F75B3C">
      <w:pPr>
        <w:pStyle w:val="Doc-text2"/>
        <w:pBdr>
          <w:top w:val="single" w:sz="4" w:space="1" w:color="auto"/>
          <w:left w:val="single" w:sz="4" w:space="4" w:color="auto"/>
          <w:bottom w:val="single" w:sz="4" w:space="1" w:color="auto"/>
          <w:right w:val="single" w:sz="4" w:space="4" w:color="auto"/>
        </w:pBdr>
      </w:pPr>
      <w:r>
        <w:t>FFS:</w:t>
      </w:r>
    </w:p>
    <w:p w14:paraId="680EE141" w14:textId="77777777" w:rsidR="00F75B3C" w:rsidRDefault="00F75B3C" w:rsidP="00F75B3C">
      <w:pPr>
        <w:pStyle w:val="Doc-text2"/>
        <w:numPr>
          <w:ilvl w:val="0"/>
          <w:numId w:val="15"/>
        </w:numPr>
        <w:pBdr>
          <w:top w:val="single" w:sz="4" w:space="1" w:color="auto"/>
          <w:left w:val="single" w:sz="4" w:space="4" w:color="auto"/>
          <w:bottom w:val="single" w:sz="4" w:space="1" w:color="auto"/>
          <w:right w:val="single" w:sz="4" w:space="4" w:color="auto"/>
        </w:pBdr>
      </w:pPr>
      <w:r>
        <w:t xml:space="preserve">For RRC_IDLE and/or RRC_INACTIVE, </w:t>
      </w:r>
      <w:r w:rsidRPr="006625FF">
        <w:t xml:space="preserve">FFS on baseline mechanism when the configured NR </w:t>
      </w:r>
      <w:proofErr w:type="spellStart"/>
      <w:r w:rsidRPr="006625FF">
        <w:t>eDRX</w:t>
      </w:r>
      <w:proofErr w:type="spellEnd"/>
      <w:r w:rsidRPr="006625FF">
        <w:t xml:space="preserve"> cycle </w:t>
      </w:r>
      <w:r>
        <w:t xml:space="preserve">is less or equal to </w:t>
      </w:r>
      <w:r w:rsidRPr="006625FF">
        <w:t>10.24s</w:t>
      </w:r>
    </w:p>
    <w:p w14:paraId="1AEF900F" w14:textId="67B69443" w:rsidR="004854BF" w:rsidRDefault="00F75B3C" w:rsidP="004854BF">
      <w:pPr>
        <w:tabs>
          <w:tab w:val="left" w:pos="1327"/>
        </w:tabs>
        <w:spacing w:after="60"/>
        <w:jc w:val="both"/>
        <w:rPr>
          <w:lang w:val="en-GB"/>
        </w:rPr>
      </w:pPr>
      <w:r>
        <w:rPr>
          <w:lang w:val="en-GB"/>
        </w:rPr>
        <w:t xml:space="preserve">In the email discussion 915, </w:t>
      </w:r>
      <w:r w:rsidR="00BA63F7">
        <w:rPr>
          <w:lang w:val="en-GB"/>
        </w:rPr>
        <w:t xml:space="preserve">maximum DRX cycle for INACTIVE is discussed, but there is no consensus based on companies’ inputs. </w:t>
      </w:r>
    </w:p>
    <w:tbl>
      <w:tblPr>
        <w:tblStyle w:val="TableGrid"/>
        <w:tblW w:w="0" w:type="auto"/>
        <w:tblLook w:val="04A0" w:firstRow="1" w:lastRow="0" w:firstColumn="1" w:lastColumn="0" w:noHBand="0" w:noVBand="1"/>
      </w:tblPr>
      <w:tblGrid>
        <w:gridCol w:w="9350"/>
      </w:tblGrid>
      <w:tr w:rsidR="00BA63F7" w14:paraId="7FE102D8" w14:textId="77777777" w:rsidTr="00BA63F7">
        <w:tc>
          <w:tcPr>
            <w:tcW w:w="9350" w:type="dxa"/>
          </w:tcPr>
          <w:p w14:paraId="54AD71C6" w14:textId="77777777" w:rsidR="00BA63F7" w:rsidRDefault="00BA63F7" w:rsidP="00BA63F7">
            <w:pPr>
              <w:spacing w:before="120" w:after="120"/>
              <w:jc w:val="both"/>
            </w:pPr>
            <w:r>
              <w:rPr>
                <w:b/>
              </w:rPr>
              <w:t>Q1.3</w:t>
            </w:r>
            <w:r w:rsidRPr="00CD27AB">
              <w:rPr>
                <w:b/>
              </w:rPr>
              <w:t xml:space="preserve">: Do you agree </w:t>
            </w:r>
            <w:r>
              <w:rPr>
                <w:b/>
              </w:rPr>
              <w:t xml:space="preserve">it is desirable to extend the </w:t>
            </w:r>
            <w:proofErr w:type="spellStart"/>
            <w:r>
              <w:rPr>
                <w:b/>
              </w:rPr>
              <w:t>eDRX</w:t>
            </w:r>
            <w:proofErr w:type="spellEnd"/>
            <w:r>
              <w:rPr>
                <w:b/>
              </w:rPr>
              <w:t xml:space="preserve"> cycle in RRC_INACTIVE beyond 10.24s for REDCAP </w:t>
            </w:r>
            <w:proofErr w:type="spellStart"/>
            <w:r>
              <w:rPr>
                <w:b/>
              </w:rPr>
              <w:t>Ues</w:t>
            </w:r>
            <w:proofErr w:type="spellEnd"/>
            <w:r>
              <w:rPr>
                <w:b/>
              </w:rPr>
              <w:t>?</w:t>
            </w:r>
          </w:p>
          <w:p w14:paraId="03865D14" w14:textId="77777777" w:rsidR="00BA63F7" w:rsidRPr="00BA63F7" w:rsidRDefault="00BA63F7" w:rsidP="00BA63F7">
            <w:pPr>
              <w:jc w:val="both"/>
              <w:rPr>
                <w:rFonts w:eastAsia="MS Mincho"/>
                <w:lang w:eastAsia="zh-CN"/>
              </w:rPr>
            </w:pPr>
          </w:p>
          <w:p w14:paraId="763705B6" w14:textId="6262CE04" w:rsidR="00BA63F7" w:rsidRPr="003936A2" w:rsidRDefault="00BA63F7" w:rsidP="00BA63F7">
            <w:pPr>
              <w:jc w:val="both"/>
              <w:rPr>
                <w:rFonts w:eastAsia="MS Mincho"/>
                <w:lang w:val="en-GB" w:eastAsia="zh-CN"/>
              </w:rPr>
            </w:pPr>
            <w:r w:rsidRPr="003936A2">
              <w:rPr>
                <w:rFonts w:eastAsia="MS Mincho"/>
                <w:lang w:val="en-GB" w:eastAsia="zh-CN"/>
              </w:rPr>
              <w:t xml:space="preserve">For </w:t>
            </w:r>
            <w:proofErr w:type="spellStart"/>
            <w:r w:rsidRPr="003936A2">
              <w:rPr>
                <w:rFonts w:eastAsia="MS Mincho"/>
                <w:lang w:val="en-GB" w:eastAsia="zh-CN"/>
              </w:rPr>
              <w:t>eMTC</w:t>
            </w:r>
            <w:proofErr w:type="spellEnd"/>
            <w:r w:rsidRPr="003936A2">
              <w:rPr>
                <w:rFonts w:eastAsia="MS Mincho"/>
                <w:lang w:val="en-GB" w:eastAsia="zh-CN"/>
              </w:rPr>
              <w:t xml:space="preserve"> UEs connected to 5GC, </w:t>
            </w:r>
            <w:proofErr w:type="spellStart"/>
            <w:r w:rsidRPr="003936A2">
              <w:rPr>
                <w:rFonts w:eastAsia="MS Mincho"/>
                <w:lang w:val="en-GB" w:eastAsia="zh-CN"/>
              </w:rPr>
              <w:t>eDRX</w:t>
            </w:r>
            <w:proofErr w:type="spellEnd"/>
            <w:r w:rsidRPr="003936A2">
              <w:rPr>
                <w:rFonts w:eastAsia="MS Mincho"/>
                <w:lang w:val="en-GB" w:eastAsia="zh-CN"/>
              </w:rPr>
              <w:t xml:space="preserve"> cycles in RRC_INACTIVE are already supported up to 10.24 sec. </w:t>
            </w:r>
            <w:r>
              <w:rPr>
                <w:rFonts w:eastAsia="MS Mincho"/>
                <w:lang w:val="en-GB" w:eastAsia="zh-CN"/>
              </w:rPr>
              <w:t xml:space="preserve">One reason for not extending this value further is </w:t>
            </w:r>
            <w:r w:rsidRPr="003936A2">
              <w:rPr>
                <w:rFonts w:eastAsia="MS Mincho"/>
                <w:lang w:val="en-GB" w:eastAsia="zh-CN"/>
              </w:rPr>
              <w:t xml:space="preserve">given in </w:t>
            </w:r>
            <w:r>
              <w:rPr>
                <w:rFonts w:eastAsia="MS Mincho"/>
                <w:lang w:val="en-GB" w:eastAsia="zh-CN"/>
              </w:rPr>
              <w:fldChar w:fldCharType="begin"/>
            </w:r>
            <w:r>
              <w:rPr>
                <w:rFonts w:eastAsia="MS Mincho"/>
                <w:lang w:val="en-GB" w:eastAsia="zh-CN"/>
              </w:rPr>
              <w:instrText xml:space="preserve"> REF _Ref51146498 \r \h </w:instrText>
            </w:r>
            <w:r>
              <w:rPr>
                <w:rFonts w:eastAsia="MS Mincho"/>
                <w:lang w:val="en-GB" w:eastAsia="zh-CN"/>
              </w:rPr>
            </w:r>
            <w:r>
              <w:rPr>
                <w:rFonts w:eastAsia="MS Mincho"/>
                <w:lang w:val="en-GB" w:eastAsia="zh-CN"/>
              </w:rPr>
              <w:fldChar w:fldCharType="separate"/>
            </w:r>
            <w:r>
              <w:rPr>
                <w:rFonts w:eastAsia="MS Mincho"/>
                <w:lang w:val="en-GB" w:eastAsia="zh-CN"/>
              </w:rPr>
              <w:t>[3]</w:t>
            </w:r>
            <w:r>
              <w:rPr>
                <w:rFonts w:eastAsia="MS Mincho"/>
                <w:lang w:val="en-GB" w:eastAsia="zh-CN"/>
              </w:rPr>
              <w:fldChar w:fldCharType="end"/>
            </w:r>
            <w:r w:rsidRPr="003936A2">
              <w:rPr>
                <w:rFonts w:eastAsia="MS Mincho"/>
                <w:lang w:val="en-GB" w:eastAsia="zh-CN"/>
              </w:rPr>
              <w:t xml:space="preserve"> (</w:t>
            </w:r>
            <w:r>
              <w:rPr>
                <w:rFonts w:eastAsia="MS Mincho"/>
                <w:lang w:val="en-GB" w:eastAsia="zh-CN"/>
              </w:rPr>
              <w:t xml:space="preserve">same argument </w:t>
            </w:r>
            <w:r w:rsidRPr="003936A2">
              <w:rPr>
                <w:rFonts w:eastAsia="MS Mincho"/>
                <w:lang w:val="en-GB" w:eastAsia="zh-CN"/>
              </w:rPr>
              <w:t xml:space="preserve">also </w:t>
            </w:r>
            <w:r>
              <w:rPr>
                <w:rFonts w:eastAsia="MS Mincho"/>
                <w:lang w:val="en-GB" w:eastAsia="zh-CN"/>
              </w:rPr>
              <w:t xml:space="preserve">used </w:t>
            </w:r>
            <w:r w:rsidRPr="003936A2">
              <w:rPr>
                <w:rFonts w:eastAsia="MS Mincho"/>
                <w:lang w:val="en-GB" w:eastAsia="zh-CN"/>
              </w:rPr>
              <w:t xml:space="preserve">in </w:t>
            </w:r>
            <w:r>
              <w:rPr>
                <w:rFonts w:eastAsia="MS Mincho"/>
                <w:lang w:val="en-GB" w:eastAsia="zh-CN"/>
              </w:rPr>
              <w:fldChar w:fldCharType="begin"/>
            </w:r>
            <w:r>
              <w:rPr>
                <w:rFonts w:eastAsia="MS Mincho"/>
                <w:lang w:val="en-GB" w:eastAsia="zh-CN"/>
              </w:rPr>
              <w:instrText xml:space="preserve"> REF _Ref51146500 \r \h </w:instrText>
            </w:r>
            <w:r>
              <w:rPr>
                <w:rFonts w:eastAsia="MS Mincho"/>
                <w:lang w:val="en-GB" w:eastAsia="zh-CN"/>
              </w:rPr>
            </w:r>
            <w:r>
              <w:rPr>
                <w:rFonts w:eastAsia="MS Mincho"/>
                <w:lang w:val="en-GB" w:eastAsia="zh-CN"/>
              </w:rPr>
              <w:fldChar w:fldCharType="separate"/>
            </w:r>
            <w:r>
              <w:rPr>
                <w:rFonts w:eastAsia="MS Mincho"/>
                <w:lang w:val="en-GB" w:eastAsia="zh-CN"/>
              </w:rPr>
              <w:t>[4]</w:t>
            </w:r>
            <w:r>
              <w:rPr>
                <w:rFonts w:eastAsia="MS Mincho"/>
                <w:lang w:val="en-GB" w:eastAsia="zh-CN"/>
              </w:rPr>
              <w:fldChar w:fldCharType="end"/>
            </w:r>
            <w:r w:rsidRPr="003936A2">
              <w:rPr>
                <w:rFonts w:eastAsia="MS Mincho"/>
                <w:lang w:val="en-GB" w:eastAsia="zh-CN"/>
              </w:rPr>
              <w:t>):</w:t>
            </w:r>
          </w:p>
          <w:p w14:paraId="37E31107" w14:textId="77777777" w:rsidR="00BA63F7" w:rsidRDefault="00BA63F7" w:rsidP="00BA63F7">
            <w:pPr>
              <w:jc w:val="both"/>
              <w:rPr>
                <w:rFonts w:eastAsia="MS Mincho"/>
                <w:lang w:val="en-GB" w:eastAsia="zh-CN"/>
              </w:rPr>
            </w:pPr>
            <w:r w:rsidRPr="003936A2">
              <w:rPr>
                <w:rFonts w:eastAsia="MS Mincho"/>
                <w:lang w:val="en-GB" w:eastAsia="zh-CN"/>
              </w:rPr>
              <w:t>“</w:t>
            </w:r>
            <w:r w:rsidRPr="0081431D">
              <w:rPr>
                <w:rFonts w:eastAsia="MS Mincho"/>
                <w:i/>
                <w:lang w:val="en-GB" w:eastAsia="zh-CN"/>
              </w:rPr>
              <w:t xml:space="preserve">For UE in CM-CONNECTED mode with RRC_INACTIVE, the impacts of </w:t>
            </w:r>
            <w:proofErr w:type="spellStart"/>
            <w:r w:rsidRPr="0081431D">
              <w:rPr>
                <w:rFonts w:eastAsia="MS Mincho"/>
                <w:i/>
                <w:lang w:val="en-GB" w:eastAsia="zh-CN"/>
              </w:rPr>
              <w:t>eDRX</w:t>
            </w:r>
            <w:proofErr w:type="spellEnd"/>
            <w:r w:rsidRPr="0081431D">
              <w:rPr>
                <w:rFonts w:eastAsia="MS Mincho"/>
                <w:i/>
                <w:lang w:val="en-GB" w:eastAsia="zh-CN"/>
              </w:rPr>
              <w:t xml:space="preserve"> on CN should be considered. The value of </w:t>
            </w:r>
            <w:proofErr w:type="spellStart"/>
            <w:r w:rsidRPr="0081431D">
              <w:rPr>
                <w:rFonts w:eastAsia="MS Mincho"/>
                <w:i/>
                <w:lang w:val="en-GB" w:eastAsia="zh-CN"/>
              </w:rPr>
              <w:t>eDRX</w:t>
            </w:r>
            <w:proofErr w:type="spellEnd"/>
            <w:r w:rsidRPr="0081431D">
              <w:rPr>
                <w:rFonts w:eastAsia="MS Mincho"/>
                <w:i/>
                <w:lang w:val="en-GB" w:eastAsia="zh-CN"/>
              </w:rPr>
              <w:t xml:space="preserve"> period has impact on NAS signalling transmission in CM-CONNECTED. As specified in 5GS for Rel-15, the smallest NAS retransmission timer is 6s and the maximum retransmission times is 4. To avoid the failure of the procedure, the response from UE in </w:t>
            </w:r>
            <w:proofErr w:type="spellStart"/>
            <w:r w:rsidRPr="0081431D">
              <w:rPr>
                <w:rFonts w:eastAsia="MS Mincho"/>
                <w:i/>
                <w:lang w:val="en-GB" w:eastAsia="zh-CN"/>
              </w:rPr>
              <w:t>eDRX</w:t>
            </w:r>
            <w:proofErr w:type="spellEnd"/>
            <w:r w:rsidRPr="0081431D">
              <w:rPr>
                <w:rFonts w:eastAsia="MS Mincho"/>
                <w:i/>
                <w:lang w:val="en-GB" w:eastAsia="zh-CN"/>
              </w:rPr>
              <w:t xml:space="preserve"> should be given within 30s after initial transmission. Considering all potential factors, the longest </w:t>
            </w:r>
            <w:proofErr w:type="spellStart"/>
            <w:r w:rsidRPr="0081431D">
              <w:rPr>
                <w:rFonts w:eastAsia="MS Mincho"/>
                <w:i/>
                <w:lang w:val="en-GB" w:eastAsia="zh-CN"/>
              </w:rPr>
              <w:t>eDRX</w:t>
            </w:r>
            <w:proofErr w:type="spellEnd"/>
            <w:r w:rsidRPr="0081431D">
              <w:rPr>
                <w:rFonts w:eastAsia="MS Mincho"/>
                <w:i/>
                <w:lang w:val="en-GB" w:eastAsia="zh-CN"/>
              </w:rPr>
              <w:t xml:space="preserve"> period without impacting 5GC is set to 10.24s for RRC_INACTIVE </w:t>
            </w:r>
            <w:proofErr w:type="spellStart"/>
            <w:r w:rsidRPr="0081431D">
              <w:rPr>
                <w:rFonts w:eastAsia="MS Mincho"/>
                <w:i/>
                <w:lang w:val="en-GB" w:eastAsia="zh-CN"/>
              </w:rPr>
              <w:t>eMTC</w:t>
            </w:r>
            <w:proofErr w:type="spellEnd"/>
            <w:r w:rsidRPr="0081431D">
              <w:rPr>
                <w:rFonts w:eastAsia="MS Mincho"/>
                <w:i/>
                <w:lang w:val="en-GB" w:eastAsia="zh-CN"/>
              </w:rPr>
              <w:t xml:space="preserve"> UE in Rel-16</w:t>
            </w:r>
            <w:r w:rsidRPr="003936A2">
              <w:rPr>
                <w:rFonts w:eastAsia="MS Mincho"/>
                <w:lang w:val="en-GB" w:eastAsia="zh-CN"/>
              </w:rPr>
              <w:t>”.</w:t>
            </w:r>
          </w:p>
          <w:p w14:paraId="1D110167" w14:textId="77777777" w:rsidR="00BA63F7" w:rsidRDefault="00BA63F7" w:rsidP="00BA63F7">
            <w:pPr>
              <w:jc w:val="both"/>
              <w:rPr>
                <w:rFonts w:eastAsia="MS Mincho"/>
                <w:lang w:val="en-GB" w:eastAsia="zh-CN"/>
              </w:rPr>
            </w:pPr>
            <w:r>
              <w:rPr>
                <w:rFonts w:eastAsia="MS Mincho"/>
                <w:lang w:val="en-GB" w:eastAsia="zh-CN"/>
              </w:rPr>
              <w:t xml:space="preserve">On the other hand, several companies showed interest in studying extending the </w:t>
            </w:r>
            <w:proofErr w:type="spellStart"/>
            <w:r>
              <w:rPr>
                <w:rFonts w:eastAsia="MS Mincho"/>
                <w:lang w:val="en-GB" w:eastAsia="zh-CN"/>
              </w:rPr>
              <w:t>eDRX</w:t>
            </w:r>
            <w:proofErr w:type="spellEnd"/>
            <w:r>
              <w:rPr>
                <w:rFonts w:eastAsia="MS Mincho"/>
                <w:lang w:val="en-GB" w:eastAsia="zh-CN"/>
              </w:rPr>
              <w:t xml:space="preserve"> cycle beyond 10.24s in RRC_INACTIVE </w:t>
            </w:r>
            <w:r>
              <w:rPr>
                <w:rFonts w:eastAsia="MS Mincho"/>
                <w:lang w:val="en-GB" w:eastAsia="zh-CN"/>
              </w:rPr>
              <w:fldChar w:fldCharType="begin"/>
            </w:r>
            <w:r>
              <w:rPr>
                <w:rFonts w:eastAsia="MS Mincho"/>
                <w:lang w:val="en-GB" w:eastAsia="zh-CN"/>
              </w:rPr>
              <w:instrText xml:space="preserve"> REF _Ref51144361 \r \h </w:instrText>
            </w:r>
            <w:r>
              <w:rPr>
                <w:rFonts w:eastAsia="MS Mincho"/>
                <w:lang w:val="en-GB" w:eastAsia="zh-CN"/>
              </w:rPr>
            </w:r>
            <w:r>
              <w:rPr>
                <w:rFonts w:eastAsia="MS Mincho"/>
                <w:lang w:val="en-GB" w:eastAsia="zh-CN"/>
              </w:rPr>
              <w:fldChar w:fldCharType="separate"/>
            </w:r>
            <w:r>
              <w:rPr>
                <w:rFonts w:eastAsia="MS Mincho"/>
                <w:lang w:val="en-GB" w:eastAsia="zh-CN"/>
              </w:rPr>
              <w:t>[2]</w:t>
            </w:r>
            <w:r>
              <w:rPr>
                <w:rFonts w:eastAsia="MS Mincho"/>
                <w:lang w:val="en-GB" w:eastAsia="zh-CN"/>
              </w:rPr>
              <w:fldChar w:fldCharType="end"/>
            </w:r>
            <w:r>
              <w:rPr>
                <w:rFonts w:eastAsia="MS Mincho"/>
                <w:lang w:val="en-GB" w:eastAsia="zh-CN"/>
              </w:rPr>
              <w:t xml:space="preserve">. So we check first whether there is interest in RAN2 to extend the </w:t>
            </w:r>
            <w:proofErr w:type="spellStart"/>
            <w:r>
              <w:rPr>
                <w:rFonts w:eastAsia="MS Mincho"/>
                <w:lang w:val="en-GB" w:eastAsia="zh-CN"/>
              </w:rPr>
              <w:t>eDRX</w:t>
            </w:r>
            <w:proofErr w:type="spellEnd"/>
            <w:r>
              <w:rPr>
                <w:rFonts w:eastAsia="MS Mincho"/>
                <w:lang w:val="en-GB" w:eastAsia="zh-CN"/>
              </w:rPr>
              <w:t xml:space="preserve"> cycle beyond 10.24s in RRC_INACTIVE, and based on the outcome, we could study with CT1 ways to circumvent the above 5GC limitation. For example, we could send them an LS informing about RAN2’s preference.</w:t>
            </w:r>
          </w:p>
          <w:p w14:paraId="0F9C727E" w14:textId="77777777" w:rsidR="00BA63F7" w:rsidRDefault="00BA63F7" w:rsidP="004854BF">
            <w:pPr>
              <w:tabs>
                <w:tab w:val="left" w:pos="1327"/>
              </w:tabs>
              <w:spacing w:after="60"/>
              <w:jc w:val="both"/>
              <w:rPr>
                <w:lang w:val="en-GB"/>
              </w:rPr>
            </w:pPr>
          </w:p>
        </w:tc>
      </w:tr>
    </w:tbl>
    <w:p w14:paraId="6810183B" w14:textId="2D0BE0C3" w:rsidR="00BA63F7" w:rsidRPr="004854BF" w:rsidRDefault="00BA63F7" w:rsidP="004854BF">
      <w:pPr>
        <w:tabs>
          <w:tab w:val="left" w:pos="1327"/>
        </w:tabs>
        <w:spacing w:after="60"/>
        <w:jc w:val="both"/>
        <w:rPr>
          <w:lang w:val="en-GB"/>
        </w:rPr>
      </w:pPr>
      <w:r>
        <w:rPr>
          <w:lang w:val="en-GB"/>
        </w:rPr>
        <w:t xml:space="preserve">In this paper, we discuss this issue and share our views. </w:t>
      </w:r>
    </w:p>
    <w:p w14:paraId="79A42B9D" w14:textId="77777777" w:rsidR="00EB410E" w:rsidRDefault="00EB410E" w:rsidP="00EB410E">
      <w:pPr>
        <w:pStyle w:val="Heading1"/>
        <w:numPr>
          <w:ilvl w:val="0"/>
          <w:numId w:val="2"/>
        </w:numPr>
      </w:pPr>
      <w:r>
        <w:lastRenderedPageBreak/>
        <w:t>Discussion</w:t>
      </w:r>
    </w:p>
    <w:p w14:paraId="460841F9" w14:textId="7EE2951E" w:rsidR="00A02492" w:rsidRDefault="00ED42F4" w:rsidP="00EB410E">
      <w:pPr>
        <w:jc w:val="both"/>
      </w:pPr>
      <w:r>
        <w:t>For</w:t>
      </w:r>
      <w:r w:rsidR="00B02FC5">
        <w:t xml:space="preserve"> </w:t>
      </w:r>
      <w:r w:rsidR="008D5D89">
        <w:t>WB-</w:t>
      </w:r>
      <w:r w:rsidR="00B02FC5">
        <w:t>E-UTRA</w:t>
      </w:r>
      <w:r w:rsidR="008D5D89">
        <w:t>N</w:t>
      </w:r>
      <w:r w:rsidR="00B02FC5">
        <w:t xml:space="preserve"> connected to 5GC, it is already supported the usage of extended DRX for UEs in RRC_IDLE (with or without suspend indication) </w:t>
      </w:r>
      <w:r w:rsidR="008D5D89">
        <w:t xml:space="preserve">up to 44 min. </w:t>
      </w:r>
      <w:r w:rsidR="00550F48">
        <w:t>(</w:t>
      </w:r>
      <w:r w:rsidR="0038083E">
        <w:t>although NB-IoT is up to 3h</w:t>
      </w:r>
      <w:r w:rsidR="00550F48">
        <w:t xml:space="preserve">) </w:t>
      </w:r>
      <w:r w:rsidR="00BA63F7">
        <w:t>but</w:t>
      </w:r>
      <w:r w:rsidR="00A02492">
        <w:t xml:space="preserve"> for UEs in RRC_INATIVE</w:t>
      </w:r>
      <w:r w:rsidR="008D5D89">
        <w:t xml:space="preserve"> </w:t>
      </w:r>
      <w:r w:rsidR="00BA63F7">
        <w:t xml:space="preserve">only </w:t>
      </w:r>
      <w:r w:rsidR="008D5D89">
        <w:t>up to 10.24 sec</w:t>
      </w:r>
      <w:r w:rsidR="00A02492">
        <w:t>.</w:t>
      </w:r>
    </w:p>
    <w:p w14:paraId="130B934C" w14:textId="41FEB87B" w:rsidR="00A02492" w:rsidRPr="00B02FC5" w:rsidRDefault="00A02492" w:rsidP="00A02492">
      <w:pPr>
        <w:pStyle w:val="observ"/>
        <w:ind w:left="360"/>
      </w:pPr>
      <w:bookmarkStart w:id="1" w:name="_Toc47306225"/>
      <w:bookmarkStart w:id="2" w:name="_Toc47389424"/>
      <w:bookmarkStart w:id="3" w:name="_Toc47596557"/>
      <w:bookmarkStart w:id="4" w:name="_Toc47596641"/>
      <w:bookmarkStart w:id="5" w:name="_Toc47624116"/>
      <w:bookmarkStart w:id="6" w:name="_Toc47636762"/>
      <w:bookmarkStart w:id="7" w:name="_Toc47641262"/>
      <w:bookmarkStart w:id="8" w:name="_Toc47641711"/>
      <w:bookmarkStart w:id="9" w:name="_Toc47641762"/>
      <w:bookmarkStart w:id="10" w:name="_Toc54101308"/>
      <w:r>
        <w:t xml:space="preserve">For </w:t>
      </w:r>
      <w:r w:rsidR="008D5D89">
        <w:t>WB-</w:t>
      </w:r>
      <w:r>
        <w:t>E-UTRA</w:t>
      </w:r>
      <w:r w:rsidR="008D5D89">
        <w:t>N</w:t>
      </w:r>
      <w:r>
        <w:t xml:space="preserve"> connected to 5GC, extending DRX cycle feature is supported for UEs in RRC_IDLE (with or without suspend indication) </w:t>
      </w:r>
      <w:r w:rsidR="008D5D89">
        <w:t xml:space="preserve">up to 44 min. </w:t>
      </w:r>
      <w:r w:rsidR="00BA63F7">
        <w:t>but</w:t>
      </w:r>
      <w:r>
        <w:t xml:space="preserve"> for UEs in RRC_INACTIVE</w:t>
      </w:r>
      <w:r w:rsidR="00BA63F7">
        <w:t xml:space="preserve"> only</w:t>
      </w:r>
      <w:r w:rsidR="008D5D89">
        <w:t xml:space="preserve"> up to 10.24 sec</w:t>
      </w:r>
      <w:r w:rsidRPr="00B02FC5">
        <w:t>.</w:t>
      </w:r>
      <w:bookmarkEnd w:id="1"/>
      <w:bookmarkEnd w:id="2"/>
      <w:bookmarkEnd w:id="3"/>
      <w:bookmarkEnd w:id="4"/>
      <w:bookmarkEnd w:id="5"/>
      <w:bookmarkEnd w:id="6"/>
      <w:bookmarkEnd w:id="7"/>
      <w:bookmarkEnd w:id="8"/>
      <w:bookmarkEnd w:id="9"/>
      <w:bookmarkEnd w:id="10"/>
    </w:p>
    <w:p w14:paraId="3A2E10FA" w14:textId="77777777" w:rsidR="00A02492" w:rsidRPr="003035B1" w:rsidRDefault="00A02492" w:rsidP="00EF1BE7">
      <w:pPr>
        <w:spacing w:after="0"/>
        <w:jc w:val="both"/>
        <w:rPr>
          <w:lang w:val="en-GB"/>
        </w:rPr>
      </w:pPr>
    </w:p>
    <w:p w14:paraId="585099B3" w14:textId="408EABA7" w:rsidR="00B02FC5" w:rsidRPr="00B02FC5" w:rsidRDefault="007D7188" w:rsidP="001879F0">
      <w:pPr>
        <w:jc w:val="both"/>
        <w:rPr>
          <w:lang w:val="en-GB"/>
        </w:rPr>
      </w:pPr>
      <w:r>
        <w:rPr>
          <w:lang w:val="en-GB"/>
        </w:rPr>
        <w:t xml:space="preserve">If paging DRX cycle </w:t>
      </w:r>
      <w:r w:rsidR="00781327">
        <w:rPr>
          <w:lang w:val="en-GB"/>
        </w:rPr>
        <w:t xml:space="preserve">was </w:t>
      </w:r>
      <w:r>
        <w:rPr>
          <w:lang w:val="en-GB"/>
        </w:rPr>
        <w:t xml:space="preserve">extended above 10.24sec for </w:t>
      </w:r>
      <w:r>
        <w:t>UEs in RRC_INACTIVE</w:t>
      </w:r>
      <w:r>
        <w:rPr>
          <w:lang w:val="en-GB"/>
        </w:rPr>
        <w:t>, this would require further discussion.</w:t>
      </w:r>
    </w:p>
    <w:p w14:paraId="6CAEE2F3" w14:textId="464C606D" w:rsidR="007D7188" w:rsidRPr="00B02FC5" w:rsidRDefault="007D7188" w:rsidP="00CD2608">
      <w:pPr>
        <w:spacing w:after="120"/>
        <w:jc w:val="both"/>
        <w:rPr>
          <w:lang w:val="en-GB"/>
        </w:rPr>
      </w:pPr>
      <w:r>
        <w:rPr>
          <w:lang w:val="en-GB"/>
        </w:rPr>
        <w:t xml:space="preserve">For NR UEs in RRC_INACTIVE, </w:t>
      </w:r>
      <w:r w:rsidR="001879F0">
        <w:rPr>
          <w:lang w:val="en-GB"/>
        </w:rPr>
        <w:t xml:space="preserve">the CN foreseen impact of </w:t>
      </w:r>
      <w:proofErr w:type="spellStart"/>
      <w:r w:rsidR="001879F0">
        <w:rPr>
          <w:lang w:val="en-GB"/>
        </w:rPr>
        <w:t>eDRX</w:t>
      </w:r>
      <w:proofErr w:type="spellEnd"/>
      <w:r w:rsidR="001879F0">
        <w:rPr>
          <w:lang w:val="en-GB"/>
        </w:rPr>
        <w:t xml:space="preserve"> above 10.24sec may be critical. During Rel-16 5G </w:t>
      </w:r>
      <w:proofErr w:type="spellStart"/>
      <w:r w:rsidR="001879F0">
        <w:rPr>
          <w:lang w:val="en-GB"/>
        </w:rPr>
        <w:t>CIoT</w:t>
      </w:r>
      <w:proofErr w:type="spellEnd"/>
      <w:r w:rsidR="001879F0">
        <w:rPr>
          <w:lang w:val="en-GB"/>
        </w:rPr>
        <w:t xml:space="preserve"> work, CT1 LS </w:t>
      </w:r>
      <w:r w:rsidR="001879F0">
        <w:rPr>
          <w:lang w:val="en-GB"/>
        </w:rPr>
        <w:fldChar w:fldCharType="begin"/>
      </w:r>
      <w:r w:rsidR="001879F0">
        <w:rPr>
          <w:lang w:val="en-GB"/>
        </w:rPr>
        <w:instrText xml:space="preserve"> REF _Ref47302842 \r \h  \* MERGEFORMAT </w:instrText>
      </w:r>
      <w:r w:rsidR="001879F0">
        <w:rPr>
          <w:lang w:val="en-GB"/>
        </w:rPr>
      </w:r>
      <w:r w:rsidR="001879F0">
        <w:rPr>
          <w:lang w:val="en-GB"/>
        </w:rPr>
        <w:fldChar w:fldCharType="separate"/>
      </w:r>
      <w:r w:rsidR="001879F0">
        <w:rPr>
          <w:lang w:val="en-GB"/>
        </w:rPr>
        <w:t>[3]</w:t>
      </w:r>
      <w:r w:rsidR="001879F0">
        <w:rPr>
          <w:lang w:val="en-GB"/>
        </w:rPr>
        <w:fldChar w:fldCharType="end"/>
      </w:r>
      <w:r w:rsidR="001879F0">
        <w:rPr>
          <w:lang w:val="en-GB"/>
        </w:rPr>
        <w:t xml:space="preserve"> explain</w:t>
      </w:r>
      <w:r w:rsidR="00037616">
        <w:rPr>
          <w:lang w:val="en-GB"/>
        </w:rPr>
        <w:t>s</w:t>
      </w:r>
      <w:r w:rsidR="001879F0">
        <w:rPr>
          <w:lang w:val="en-GB"/>
        </w:rPr>
        <w:t xml:space="preserve"> their concern that </w:t>
      </w:r>
      <w:r w:rsidR="001879F0" w:rsidRPr="001879F0">
        <w:rPr>
          <w:lang w:val="en-GB"/>
        </w:rPr>
        <w:t>the smallest NAS re-transmission timers associated with mobility management procedures</w:t>
      </w:r>
      <w:r w:rsidR="001879F0">
        <w:rPr>
          <w:lang w:val="en-GB"/>
        </w:rPr>
        <w:t xml:space="preserve"> would be impacted if this feature were enabled for UEs in RRC_</w:t>
      </w:r>
      <w:r w:rsidR="00BA63F7">
        <w:rPr>
          <w:lang w:val="en-GB"/>
        </w:rPr>
        <w:t>INACTIVE</w:t>
      </w:r>
      <w:r w:rsidR="001879F0" w:rsidRPr="001879F0">
        <w:rPr>
          <w:lang w:val="en-GB"/>
        </w:rPr>
        <w:t xml:space="preserve">, </w:t>
      </w:r>
      <w:r w:rsidR="001879F0">
        <w:rPr>
          <w:lang w:val="en-GB"/>
        </w:rPr>
        <w:t>as shown in related reference copied below:</w:t>
      </w:r>
    </w:p>
    <w:p w14:paraId="2E6BABAD" w14:textId="7BC6CA24" w:rsidR="001879F0" w:rsidRPr="001879F0" w:rsidRDefault="00CD2608" w:rsidP="00EF1BE7">
      <w:pPr>
        <w:spacing w:after="60"/>
        <w:ind w:left="360"/>
        <w:jc w:val="both"/>
        <w:rPr>
          <w:i/>
          <w:iCs/>
          <w:lang w:val="en-GB"/>
        </w:rPr>
      </w:pPr>
      <w:r>
        <w:rPr>
          <w:b/>
          <w:bCs/>
          <w:i/>
          <w:iCs/>
          <w:lang w:val="en-GB"/>
        </w:rPr>
        <w:t>“</w:t>
      </w:r>
      <w:r w:rsidR="001879F0" w:rsidRPr="001879F0">
        <w:rPr>
          <w:b/>
          <w:bCs/>
          <w:i/>
          <w:iCs/>
          <w:lang w:val="en-GB"/>
        </w:rPr>
        <w:t xml:space="preserve">The smallest NAS retransmission specified in 5GS for Rel-15 timer is 6s and it is associated with mobility management procedures at the AMF. </w:t>
      </w:r>
      <w:r w:rsidR="001879F0" w:rsidRPr="001879F0">
        <w:rPr>
          <w:i/>
          <w:iCs/>
          <w:lang w:val="en-GB"/>
        </w:rPr>
        <w:t xml:space="preserve">For a UE in 5GMM-CONNECTED mode, extending the DRX cycle beyond 6s without extending NAS retransmission timers will lead to an increase in NAS message retransmissions. </w:t>
      </w:r>
    </w:p>
    <w:p w14:paraId="3DD83924" w14:textId="2D04483F" w:rsidR="001879F0" w:rsidRPr="001879F0" w:rsidRDefault="001879F0" w:rsidP="003035B1">
      <w:pPr>
        <w:spacing w:after="60"/>
        <w:ind w:left="360"/>
        <w:jc w:val="both"/>
        <w:rPr>
          <w:i/>
          <w:iCs/>
          <w:lang w:val="en-GB"/>
        </w:rPr>
      </w:pPr>
      <w:r w:rsidRPr="001879F0">
        <w:rPr>
          <w:b/>
          <w:bCs/>
          <w:i/>
          <w:iCs/>
          <w:lang w:val="en-GB"/>
        </w:rPr>
        <w:t xml:space="preserve">NAS messages are retransmitted 4 times before the procedure is considered to have failed i.e. the total time that elapses between the initial transmission and a procedure failure, for a NAS retransmission timer of 6s, is 30s. </w:t>
      </w:r>
      <w:r w:rsidRPr="001879F0">
        <w:rPr>
          <w:i/>
          <w:iCs/>
          <w:lang w:val="en-GB"/>
        </w:rPr>
        <w:t xml:space="preserve">For UEs in 5GMM-CONNECTED mode with RRC inactive indication, the impacts of extending DRX are like those highlighted above for the case of 5GMM-CONNECTED mode, however </w:t>
      </w:r>
      <w:r w:rsidRPr="00CD2608">
        <w:rPr>
          <w:b/>
          <w:bCs/>
          <w:i/>
          <w:iCs/>
          <w:lang w:val="en-GB"/>
        </w:rPr>
        <w:t>additional delays can be expected due to the need to page the UE to resume the RRC connection and transition to 5GMM-CONNECTED mode</w:t>
      </w:r>
      <w:r w:rsidRPr="001879F0">
        <w:rPr>
          <w:i/>
          <w:iCs/>
          <w:lang w:val="en-GB"/>
        </w:rPr>
        <w:t>. The exact time that is required to page the UE and resume a connection is best determined by RAN2.</w:t>
      </w:r>
      <w:r w:rsidR="00CD2608">
        <w:rPr>
          <w:i/>
          <w:iCs/>
          <w:lang w:val="en-GB"/>
        </w:rPr>
        <w:t>”</w:t>
      </w:r>
    </w:p>
    <w:p w14:paraId="14E650BD" w14:textId="7B1C1CEC" w:rsidR="00CD2608" w:rsidRDefault="00CD2608" w:rsidP="00CD2608">
      <w:pPr>
        <w:pStyle w:val="observ"/>
        <w:ind w:left="360"/>
      </w:pPr>
      <w:bookmarkStart w:id="11" w:name="_Toc47306226"/>
      <w:bookmarkStart w:id="12" w:name="_Toc47389426"/>
      <w:bookmarkStart w:id="13" w:name="_Toc47596559"/>
      <w:bookmarkStart w:id="14" w:name="_Toc47596643"/>
      <w:bookmarkStart w:id="15" w:name="_Toc47624118"/>
      <w:bookmarkStart w:id="16" w:name="_Toc47636764"/>
      <w:bookmarkStart w:id="17" w:name="_Toc47641264"/>
      <w:bookmarkStart w:id="18" w:name="_Toc47641713"/>
      <w:bookmarkStart w:id="19" w:name="_Toc47641764"/>
      <w:bookmarkStart w:id="20" w:name="_Toc54101309"/>
      <w:r>
        <w:t>For E-UTRA connected to 5GC, extending DRX cycle above 10.24 sec was not desirable for UEs in RRC_INACTIVE due to the foreseen CN impact to the mobility management procedures due to the smallest value of the NAS retransmission timer and the actual number of NAS retransmission done)</w:t>
      </w:r>
      <w:r w:rsidRPr="00B02FC5">
        <w:t>.</w:t>
      </w:r>
      <w:bookmarkEnd w:id="11"/>
      <w:bookmarkEnd w:id="12"/>
      <w:bookmarkEnd w:id="13"/>
      <w:bookmarkEnd w:id="14"/>
      <w:bookmarkEnd w:id="15"/>
      <w:bookmarkEnd w:id="16"/>
      <w:bookmarkEnd w:id="17"/>
      <w:bookmarkEnd w:id="18"/>
      <w:bookmarkEnd w:id="19"/>
      <w:bookmarkEnd w:id="20"/>
    </w:p>
    <w:p w14:paraId="74C72D06" w14:textId="55F3F136" w:rsidR="00BA63F7" w:rsidRDefault="002F029C" w:rsidP="00BA63F7">
      <w:pPr>
        <w:spacing w:after="120"/>
        <w:jc w:val="both"/>
      </w:pPr>
      <w:r>
        <w:t>To support the DRX cycle above 10.24s, the potential impact</w:t>
      </w:r>
      <w:r w:rsidR="00961548">
        <w:t>s</w:t>
      </w:r>
      <w:r>
        <w:t xml:space="preserve"> we could see</w:t>
      </w:r>
      <w:r w:rsidR="00961548">
        <w:t xml:space="preserve"> are</w:t>
      </w:r>
      <w:r>
        <w:t>:</w:t>
      </w:r>
    </w:p>
    <w:p w14:paraId="135E47F6" w14:textId="37DCA3E2" w:rsidR="002F029C" w:rsidRDefault="002F029C" w:rsidP="002F029C">
      <w:pPr>
        <w:pStyle w:val="ListParagraph"/>
        <w:numPr>
          <w:ilvl w:val="0"/>
          <w:numId w:val="16"/>
        </w:numPr>
        <w:spacing w:after="120"/>
        <w:jc w:val="both"/>
      </w:pPr>
      <w:r>
        <w:t>Impact on CT1</w:t>
      </w:r>
      <w:r w:rsidR="000005C6">
        <w:t>/SA2</w:t>
      </w:r>
      <w:r>
        <w:t>,</w:t>
      </w:r>
      <w:r w:rsidR="000005C6">
        <w:t xml:space="preserve">e.g. </w:t>
      </w:r>
      <w:r>
        <w:t xml:space="preserve"> the NAS retransmission timer; The confirmation from CT1</w:t>
      </w:r>
      <w:r w:rsidR="000005C6">
        <w:t>/SA2</w:t>
      </w:r>
      <w:r>
        <w:t xml:space="preserve"> is needed if RAN2 is willing to extend the DRX cycle for INACTIVE above 10.24s;</w:t>
      </w:r>
    </w:p>
    <w:p w14:paraId="2687E0D2" w14:textId="1B246EA3" w:rsidR="000005C6" w:rsidRDefault="00961548" w:rsidP="002F029C">
      <w:pPr>
        <w:pStyle w:val="ListParagraph"/>
        <w:numPr>
          <w:ilvl w:val="0"/>
          <w:numId w:val="16"/>
        </w:numPr>
        <w:spacing w:after="120"/>
        <w:jc w:val="both"/>
      </w:pPr>
      <w:r>
        <w:t>Impact on RAN2:</w:t>
      </w:r>
    </w:p>
    <w:p w14:paraId="5FB52CDE" w14:textId="399220C2" w:rsidR="00961548" w:rsidRDefault="00961548" w:rsidP="00961548">
      <w:pPr>
        <w:pStyle w:val="ListParagraph"/>
        <w:numPr>
          <w:ilvl w:val="1"/>
          <w:numId w:val="16"/>
        </w:numPr>
        <w:spacing w:after="120"/>
        <w:jc w:val="both"/>
      </w:pPr>
      <w:r>
        <w:t>How to handle the case if both IDLE DRX cycle &gt;10.24s and RAN paging cycle &gt;10.24s, i.e. how to handle two PTW, PH;</w:t>
      </w:r>
    </w:p>
    <w:p w14:paraId="35FF8E44" w14:textId="150285B1" w:rsidR="00961548" w:rsidRPr="00B02FC5" w:rsidRDefault="00961548" w:rsidP="00961548">
      <w:pPr>
        <w:pStyle w:val="ListParagraph"/>
        <w:numPr>
          <w:ilvl w:val="1"/>
          <w:numId w:val="16"/>
        </w:numPr>
        <w:spacing w:after="120"/>
        <w:jc w:val="both"/>
      </w:pPr>
      <w:r>
        <w:t>How to support low latency based on DRX cycle &gt;10.24s for both downlink and uplink;</w:t>
      </w:r>
    </w:p>
    <w:p w14:paraId="4585610E" w14:textId="69F40EA3" w:rsidR="002F029C" w:rsidRPr="00961548" w:rsidRDefault="000005C6" w:rsidP="00961548">
      <w:pPr>
        <w:spacing w:after="120"/>
        <w:jc w:val="both"/>
        <w:rPr>
          <w:lang w:val="en-GB"/>
        </w:rPr>
      </w:pPr>
      <w:bookmarkStart w:id="21" w:name="_Toc54101311"/>
      <w:bookmarkStart w:id="22" w:name="_Toc47306229"/>
      <w:bookmarkStart w:id="23" w:name="_Toc47353777"/>
      <w:bookmarkStart w:id="24" w:name="_Toc47389431"/>
      <w:bookmarkStart w:id="25" w:name="_Toc47596562"/>
      <w:bookmarkStart w:id="26" w:name="_Toc47596584"/>
      <w:bookmarkStart w:id="27" w:name="_Toc47596646"/>
      <w:bookmarkStart w:id="28" w:name="_Toc47624122"/>
      <w:bookmarkStart w:id="29" w:name="_Toc47636769"/>
      <w:bookmarkStart w:id="30" w:name="_Toc47641254"/>
      <w:bookmarkStart w:id="31" w:name="_Toc47641717"/>
      <w:bookmarkStart w:id="32" w:name="_Toc47641768"/>
      <w:r w:rsidRPr="00961548">
        <w:rPr>
          <w:lang w:val="en-GB"/>
        </w:rPr>
        <w:t xml:space="preserve">The argument from companies who are willing to support DRX cycle &gt;10.24s for INACTIVE is to archive the same power saving result for INACTIVE as IDLE, but enjoy the lower latency in INACTIVE state. However, for downlink packets, to  archive the low latency, the UE has to monitor RAN paging more frequently, and therefore it </w:t>
      </w:r>
      <w:r w:rsidR="00ED42F4">
        <w:rPr>
          <w:lang w:val="en-GB"/>
        </w:rPr>
        <w:t xml:space="preserve">is impossible to archive low latency </w:t>
      </w:r>
      <w:r w:rsidRPr="00961548">
        <w:rPr>
          <w:lang w:val="en-GB"/>
        </w:rPr>
        <w:t xml:space="preserve">if the DRX cycle length is same as IDLE. </w:t>
      </w:r>
      <w:r w:rsidR="00ED42F4">
        <w:rPr>
          <w:lang w:val="en-GB"/>
        </w:rPr>
        <w:t>T</w:t>
      </w:r>
      <w:r w:rsidR="002F029C" w:rsidRPr="00961548">
        <w:rPr>
          <w:lang w:val="en-GB"/>
        </w:rPr>
        <w:t xml:space="preserve"> </w:t>
      </w:r>
      <w:r w:rsidRPr="00961548">
        <w:rPr>
          <w:lang w:val="en-GB"/>
        </w:rPr>
        <w:t>have</w:t>
      </w:r>
      <w:r w:rsidR="002F029C" w:rsidRPr="00961548">
        <w:rPr>
          <w:lang w:val="en-GB"/>
        </w:rPr>
        <w:t xml:space="preserve"> longer battery life</w:t>
      </w:r>
      <w:r w:rsidRPr="00961548">
        <w:rPr>
          <w:lang w:val="en-GB"/>
        </w:rPr>
        <w:t>time</w:t>
      </w:r>
      <w:r w:rsidR="002F029C" w:rsidRPr="00961548">
        <w:rPr>
          <w:lang w:val="en-GB"/>
        </w:rPr>
        <w:t xml:space="preserve">, the </w:t>
      </w:r>
      <w:r w:rsidR="00961548" w:rsidRPr="00961548">
        <w:rPr>
          <w:lang w:val="en-GB"/>
        </w:rPr>
        <w:t xml:space="preserve">simple way is to move the </w:t>
      </w:r>
      <w:r w:rsidR="002F029C" w:rsidRPr="00961548">
        <w:rPr>
          <w:lang w:val="en-GB"/>
        </w:rPr>
        <w:t xml:space="preserve">UE to IDLE </w:t>
      </w:r>
      <w:r w:rsidR="00961548" w:rsidRPr="00961548">
        <w:rPr>
          <w:lang w:val="en-GB"/>
        </w:rPr>
        <w:t>state</w:t>
      </w:r>
      <w:r w:rsidR="002F029C" w:rsidRPr="00961548">
        <w:rPr>
          <w:lang w:val="en-GB"/>
        </w:rPr>
        <w:t>;</w:t>
      </w:r>
      <w:bookmarkEnd w:id="21"/>
    </w:p>
    <w:p w14:paraId="134EFEA1" w14:textId="6B1A7732" w:rsidR="00CD2608" w:rsidRDefault="00CD2608" w:rsidP="00CD2608">
      <w:pPr>
        <w:pStyle w:val="Proposal"/>
        <w:numPr>
          <w:ilvl w:val="0"/>
          <w:numId w:val="4"/>
        </w:numPr>
      </w:pPr>
      <w:bookmarkStart w:id="33" w:name="_Toc54101312"/>
      <w:bookmarkStart w:id="34" w:name="_Toc54101330"/>
      <w:r>
        <w:t>For UEs in RRC_INACITVE, paging DRX cycle is not extended above 10.24 sec</w:t>
      </w:r>
      <w:r w:rsidRPr="005745F7">
        <w:t>.</w:t>
      </w:r>
      <w:bookmarkEnd w:id="22"/>
      <w:bookmarkEnd w:id="23"/>
      <w:bookmarkEnd w:id="24"/>
      <w:bookmarkEnd w:id="25"/>
      <w:bookmarkEnd w:id="26"/>
      <w:bookmarkEnd w:id="27"/>
      <w:bookmarkEnd w:id="28"/>
      <w:bookmarkEnd w:id="29"/>
      <w:bookmarkEnd w:id="30"/>
      <w:bookmarkEnd w:id="31"/>
      <w:bookmarkEnd w:id="32"/>
      <w:bookmarkEnd w:id="33"/>
      <w:bookmarkEnd w:id="34"/>
    </w:p>
    <w:p w14:paraId="0ED329F0" w14:textId="016E5291" w:rsidR="00B02FC5" w:rsidRDefault="00961548" w:rsidP="00983386">
      <w:pPr>
        <w:pStyle w:val="Proposal"/>
        <w:numPr>
          <w:ilvl w:val="0"/>
          <w:numId w:val="4"/>
        </w:numPr>
        <w:spacing w:after="0"/>
      </w:pPr>
      <w:bookmarkStart w:id="35" w:name="_Toc54101313"/>
      <w:bookmarkStart w:id="36" w:name="_Toc54101331"/>
      <w:r>
        <w:t>If RAN2 is willing to support the DRX cycle above 10.24s</w:t>
      </w:r>
      <w:r w:rsidR="2271BB53">
        <w:t xml:space="preserve"> for INACTIVE</w:t>
      </w:r>
      <w:r>
        <w:t>, RAN2 needs to consult CT1/SA2 first.</w:t>
      </w:r>
      <w:bookmarkStart w:id="37" w:name="_GoBack"/>
      <w:bookmarkEnd w:id="35"/>
      <w:bookmarkEnd w:id="36"/>
      <w:bookmarkEnd w:id="37"/>
    </w:p>
    <w:p w14:paraId="28591C48" w14:textId="77777777" w:rsidR="00901A27" w:rsidRPr="00083BE4" w:rsidRDefault="00901A27" w:rsidP="00EF1BE7">
      <w:pPr>
        <w:overflowPunct/>
        <w:autoSpaceDE/>
        <w:autoSpaceDN/>
        <w:adjustRightInd/>
        <w:spacing w:after="0"/>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9B339E7" w14:textId="77777777" w:rsidR="00961548" w:rsidRDefault="00EB410E">
      <w:pPr>
        <w:pStyle w:val="TOC1"/>
        <w:rPr>
          <w:rFonts w:asciiTheme="minorHAnsi" w:eastAsiaTheme="minorEastAsia" w:hAnsiTheme="minorHAnsi" w:cstheme="minorBidi"/>
          <w:noProof/>
          <w:sz w:val="22"/>
          <w:lang w:eastAsia="zh-CN"/>
        </w:rPr>
      </w:pPr>
      <w:r>
        <w:rPr>
          <w:iCs/>
          <w:lang w:eastAsia="ja-JP"/>
        </w:rPr>
        <w:lastRenderedPageBreak/>
        <w:fldChar w:fldCharType="begin"/>
      </w:r>
      <w:r>
        <w:rPr>
          <w:iCs/>
          <w:lang w:eastAsia="ja-JP"/>
        </w:rPr>
        <w:instrText xml:space="preserve"> TOC \n \p " " \t "observ.,1" </w:instrText>
      </w:r>
      <w:r>
        <w:rPr>
          <w:iCs/>
          <w:lang w:eastAsia="ja-JP"/>
        </w:rPr>
        <w:fldChar w:fldCharType="separate"/>
      </w:r>
      <w:r w:rsidR="00961548" w:rsidRPr="003F7219">
        <w:rPr>
          <w:b/>
          <w:noProof/>
        </w:rPr>
        <w:t>Observation 1.</w:t>
      </w:r>
      <w:r w:rsidR="00961548">
        <w:rPr>
          <w:rFonts w:asciiTheme="minorHAnsi" w:eastAsiaTheme="minorEastAsia" w:hAnsiTheme="minorHAnsi" w:cstheme="minorBidi"/>
          <w:noProof/>
          <w:sz w:val="22"/>
          <w:lang w:eastAsia="zh-CN"/>
        </w:rPr>
        <w:tab/>
      </w:r>
      <w:r w:rsidR="00961548">
        <w:rPr>
          <w:noProof/>
        </w:rPr>
        <w:t>For WB-E-UTRAN connected to 5GC, extending DRX cycle feature is supported for UEs in RRC_IDLE (with or without suspend indication) up to 44 min. but for UEs in RRC_INACTIVE only up to 10.24 sec.</w:t>
      </w:r>
    </w:p>
    <w:p w14:paraId="0BC121AC" w14:textId="77777777" w:rsidR="00961548" w:rsidRDefault="00961548">
      <w:pPr>
        <w:pStyle w:val="TOC1"/>
        <w:rPr>
          <w:rFonts w:asciiTheme="minorHAnsi" w:eastAsiaTheme="minorEastAsia" w:hAnsiTheme="minorHAnsi" w:cstheme="minorBidi"/>
          <w:noProof/>
          <w:sz w:val="22"/>
          <w:lang w:eastAsia="zh-CN"/>
        </w:rPr>
      </w:pPr>
      <w:r w:rsidRPr="003F7219">
        <w:rPr>
          <w:b/>
          <w:noProof/>
        </w:rPr>
        <w:t>Observation 2.</w:t>
      </w:r>
      <w:r>
        <w:rPr>
          <w:rFonts w:asciiTheme="minorHAnsi" w:eastAsiaTheme="minorEastAsia" w:hAnsiTheme="minorHAnsi" w:cstheme="minorBidi"/>
          <w:noProof/>
          <w:sz w:val="22"/>
          <w:lang w:eastAsia="zh-CN"/>
        </w:rPr>
        <w:tab/>
      </w:r>
      <w:r>
        <w:rPr>
          <w:noProof/>
        </w:rPr>
        <w:t>For E-UTRA connected to 5GC, extending DRX cycle above 10.24 sec was not desirable for UEs in RRC_INACTIVE due to the foreseen CN impact to the mobility management procedures due to the smallest value of the NAS retransmission timer and the actual number of NAS retransmission done).</w:t>
      </w:r>
    </w:p>
    <w:p w14:paraId="5239C8EE" w14:textId="0B35734B" w:rsidR="00EB410E" w:rsidRDefault="00EB410E" w:rsidP="00DF1CED">
      <w:pPr>
        <w:spacing w:after="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35ABD36" w14:textId="77777777" w:rsidR="00961548" w:rsidRDefault="00EB410E">
      <w:pPr>
        <w:pStyle w:val="TOC1"/>
        <w:rPr>
          <w:rFonts w:asciiTheme="minorHAnsi" w:eastAsiaTheme="minorEastAsia" w:hAnsiTheme="minorHAnsi" w:cstheme="minorBidi"/>
          <w:noProof/>
          <w:sz w:val="22"/>
          <w:lang w:eastAsia="zh-CN"/>
        </w:rPr>
      </w:pPr>
      <w:r>
        <w:rPr>
          <w:lang w:eastAsia="zh-CN"/>
        </w:rPr>
        <w:fldChar w:fldCharType="begin"/>
      </w:r>
      <w:r>
        <w:rPr>
          <w:lang w:eastAsia="zh-CN"/>
        </w:rPr>
        <w:instrText xml:space="preserve"> TOC \n \t "Proposal,1" </w:instrText>
      </w:r>
      <w:r>
        <w:rPr>
          <w:lang w:eastAsia="zh-CN"/>
        </w:rPr>
        <w:fldChar w:fldCharType="separate"/>
      </w:r>
      <w:r w:rsidR="00961548" w:rsidRPr="00A724D6">
        <w:rPr>
          <w:b/>
          <w:noProof/>
        </w:rPr>
        <w:t>Proposal 1.</w:t>
      </w:r>
      <w:r w:rsidR="00961548">
        <w:rPr>
          <w:rFonts w:asciiTheme="minorHAnsi" w:eastAsiaTheme="minorEastAsia" w:hAnsiTheme="minorHAnsi" w:cstheme="minorBidi"/>
          <w:noProof/>
          <w:sz w:val="22"/>
          <w:lang w:eastAsia="zh-CN"/>
        </w:rPr>
        <w:tab/>
      </w:r>
      <w:r w:rsidR="00961548">
        <w:rPr>
          <w:noProof/>
        </w:rPr>
        <w:t>For UEs in RRC_INACITVE, paging DRX cycle is not extended above 10.24 sec.</w:t>
      </w:r>
    </w:p>
    <w:p w14:paraId="2B199E94" w14:textId="7DEFA834" w:rsidR="00961548" w:rsidRDefault="00961548">
      <w:pPr>
        <w:pStyle w:val="TOC1"/>
        <w:rPr>
          <w:rFonts w:asciiTheme="minorHAnsi" w:eastAsiaTheme="minorEastAsia" w:hAnsiTheme="minorHAnsi" w:cstheme="minorBidi"/>
          <w:noProof/>
          <w:sz w:val="22"/>
          <w:lang w:eastAsia="zh-CN"/>
        </w:rPr>
      </w:pPr>
      <w:r w:rsidRPr="00A724D6">
        <w:rPr>
          <w:b/>
          <w:noProof/>
        </w:rPr>
        <w:t>Proposal 2.</w:t>
      </w:r>
      <w:r>
        <w:rPr>
          <w:rFonts w:asciiTheme="minorHAnsi" w:eastAsiaTheme="minorEastAsia" w:hAnsiTheme="minorHAnsi" w:cstheme="minorBidi"/>
          <w:noProof/>
          <w:sz w:val="22"/>
          <w:lang w:eastAsia="zh-CN"/>
        </w:rPr>
        <w:tab/>
      </w:r>
      <w:r>
        <w:rPr>
          <w:noProof/>
        </w:rPr>
        <w:t>If RAN2 is willing to support the DRX cycle above 10.24s</w:t>
      </w:r>
      <w:r w:rsidR="00DC55F9">
        <w:rPr>
          <w:noProof/>
        </w:rPr>
        <w:t xml:space="preserve"> for INACTIVE</w:t>
      </w:r>
      <w:r>
        <w:rPr>
          <w:noProof/>
        </w:rPr>
        <w:t>, RAN2 needs to consult CT1/SA2 first.</w:t>
      </w:r>
    </w:p>
    <w:p w14:paraId="5B182433" w14:textId="10E56511"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38" w:name="_Ref434066290"/>
      <w:r>
        <w:t>Reference</w:t>
      </w:r>
      <w:bookmarkEnd w:id="38"/>
    </w:p>
    <w:p w14:paraId="61C9366C" w14:textId="77777777" w:rsidR="00F75B3C" w:rsidRDefault="00F75B3C" w:rsidP="00EB410E">
      <w:pPr>
        <w:pStyle w:val="Doc-title"/>
        <w:numPr>
          <w:ilvl w:val="0"/>
          <w:numId w:val="3"/>
        </w:numPr>
        <w:spacing w:before="0" w:after="60"/>
        <w:rPr>
          <w:rFonts w:ascii="Times New Roman" w:hAnsi="Times New Roman" w:cs="Times New Roman"/>
          <w:sz w:val="20"/>
        </w:rPr>
      </w:pPr>
      <w:bookmarkStart w:id="39" w:name="_Ref478150265"/>
      <w:bookmarkStart w:id="40" w:name="_Ref47299473"/>
      <w:bookmarkEnd w:id="0"/>
      <w:r w:rsidRPr="00F75B3C">
        <w:rPr>
          <w:rFonts w:ascii="Times New Roman" w:hAnsi="Times New Roman" w:cs="Times New Roman"/>
          <w:sz w:val="20"/>
        </w:rPr>
        <w:t>R2-2008193</w:t>
      </w:r>
      <w:r w:rsidRPr="00F75B3C">
        <w:rPr>
          <w:rFonts w:ascii="Times New Roman" w:hAnsi="Times New Roman" w:cs="Times New Roman"/>
          <w:sz w:val="20"/>
        </w:rPr>
        <w:tab/>
        <w:t>Summary of offline 111 - DRX aspects</w:t>
      </w:r>
      <w:r w:rsidRPr="00F75B3C">
        <w:rPr>
          <w:rFonts w:ascii="Times New Roman" w:hAnsi="Times New Roman" w:cs="Times New Roman"/>
          <w:sz w:val="20"/>
        </w:rPr>
        <w:tab/>
        <w:t xml:space="preserve">CATT </w:t>
      </w:r>
    </w:p>
    <w:p w14:paraId="7E907496" w14:textId="7FD9CE38" w:rsidR="001879F0" w:rsidRDefault="00B02FC5" w:rsidP="00EB410E">
      <w:pPr>
        <w:pStyle w:val="Doc-title"/>
        <w:numPr>
          <w:ilvl w:val="0"/>
          <w:numId w:val="3"/>
        </w:numPr>
        <w:spacing w:before="0" w:after="60"/>
        <w:rPr>
          <w:rFonts w:ascii="Times New Roman" w:hAnsi="Times New Roman" w:cs="Times New Roman"/>
          <w:sz w:val="20"/>
        </w:rPr>
      </w:pPr>
      <w:r w:rsidRPr="00B02FC5">
        <w:rPr>
          <w:rFonts w:ascii="Times New Roman" w:hAnsi="Times New Roman" w:cs="Times New Roman"/>
          <w:sz w:val="20"/>
        </w:rPr>
        <w:t>R2-152171</w:t>
      </w:r>
      <w:r>
        <w:rPr>
          <w:rFonts w:ascii="Times New Roman" w:hAnsi="Times New Roman" w:cs="Times New Roman"/>
          <w:sz w:val="20"/>
        </w:rPr>
        <w:t xml:space="preserve">, </w:t>
      </w:r>
      <w:r w:rsidRPr="00B02FC5">
        <w:rPr>
          <w:rFonts w:ascii="Times New Roman" w:hAnsi="Times New Roman" w:cs="Times New Roman"/>
          <w:sz w:val="20"/>
        </w:rPr>
        <w:t>Performance evaluation of extended DRX cycle in idle mode</w:t>
      </w:r>
      <w:r>
        <w:rPr>
          <w:rFonts w:ascii="Times New Roman" w:hAnsi="Times New Roman" w:cs="Times New Roman"/>
          <w:sz w:val="20"/>
        </w:rPr>
        <w:t>, Rel-13 LTE, Intel Corporation, May 2015</w:t>
      </w:r>
      <w:r w:rsidR="00EB410E">
        <w:rPr>
          <w:rFonts w:ascii="Times New Roman" w:hAnsi="Times New Roman" w:cs="Times New Roman"/>
          <w:sz w:val="20"/>
        </w:rPr>
        <w:t>.</w:t>
      </w:r>
      <w:bookmarkEnd w:id="39"/>
      <w:bookmarkEnd w:id="40"/>
    </w:p>
    <w:p w14:paraId="434C09F6" w14:textId="67267145" w:rsidR="00A4565C" w:rsidRPr="00EB410E" w:rsidRDefault="001879F0" w:rsidP="00DF1CED">
      <w:pPr>
        <w:pStyle w:val="Doc-title"/>
        <w:numPr>
          <w:ilvl w:val="0"/>
          <w:numId w:val="3"/>
        </w:numPr>
        <w:spacing w:before="0" w:after="60"/>
      </w:pPr>
      <w:bookmarkStart w:id="41" w:name="_Ref47302842"/>
      <w:r w:rsidRPr="001879F0">
        <w:rPr>
          <w:rFonts w:ascii="Times New Roman" w:hAnsi="Times New Roman" w:cs="Times New Roman"/>
          <w:sz w:val="20"/>
        </w:rPr>
        <w:t>C1-191389</w:t>
      </w:r>
      <w:r>
        <w:rPr>
          <w:rFonts w:ascii="Times New Roman" w:hAnsi="Times New Roman" w:cs="Times New Roman"/>
          <w:sz w:val="20"/>
        </w:rPr>
        <w:t xml:space="preserve">, </w:t>
      </w:r>
      <w:r w:rsidRPr="001879F0">
        <w:rPr>
          <w:rFonts w:ascii="Times New Roman" w:hAnsi="Times New Roman" w:cs="Times New Roman"/>
          <w:sz w:val="20"/>
        </w:rPr>
        <w:t>Reply LS on eDRX cycles for CM-CONNECTED with RRC inactive</w:t>
      </w:r>
      <w:r>
        <w:rPr>
          <w:rFonts w:ascii="Times New Roman" w:hAnsi="Times New Roman" w:cs="Times New Roman"/>
          <w:sz w:val="20"/>
        </w:rPr>
        <w:t xml:space="preserve">, Rel-16 </w:t>
      </w:r>
      <w:r w:rsidRPr="001879F0">
        <w:rPr>
          <w:rFonts w:ascii="Times New Roman" w:hAnsi="Times New Roman" w:cs="Times New Roman"/>
          <w:sz w:val="20"/>
        </w:rPr>
        <w:t>5G_CIoT</w:t>
      </w:r>
      <w:r>
        <w:rPr>
          <w:rFonts w:ascii="Times New Roman" w:hAnsi="Times New Roman" w:cs="Times New Roman"/>
          <w:sz w:val="20"/>
        </w:rPr>
        <w:t>,</w:t>
      </w:r>
      <w:r w:rsidRPr="001879F0">
        <w:rPr>
          <w:rFonts w:ascii="Times New Roman" w:hAnsi="Times New Roman" w:cs="Times New Roman"/>
          <w:sz w:val="20"/>
        </w:rPr>
        <w:t xml:space="preserve"> </w:t>
      </w:r>
      <w:r>
        <w:rPr>
          <w:rFonts w:ascii="Times New Roman" w:hAnsi="Times New Roman" w:cs="Times New Roman"/>
          <w:sz w:val="20"/>
        </w:rPr>
        <w:t>From CT1, T</w:t>
      </w:r>
      <w:r w:rsidRPr="001879F0">
        <w:rPr>
          <w:rFonts w:ascii="Times New Roman" w:hAnsi="Times New Roman" w:cs="Times New Roman"/>
          <w:sz w:val="20"/>
        </w:rPr>
        <w:t>o SA2</w:t>
      </w:r>
      <w:r>
        <w:rPr>
          <w:rFonts w:ascii="Times New Roman" w:hAnsi="Times New Roman" w:cs="Times New Roman"/>
          <w:sz w:val="20"/>
        </w:rPr>
        <w:t>, C</w:t>
      </w:r>
      <w:r w:rsidRPr="001879F0">
        <w:rPr>
          <w:rFonts w:ascii="Times New Roman" w:hAnsi="Times New Roman" w:cs="Times New Roman"/>
          <w:sz w:val="20"/>
        </w:rPr>
        <w:t>cin</w:t>
      </w:r>
      <w:r>
        <w:rPr>
          <w:rFonts w:ascii="Times New Roman" w:hAnsi="Times New Roman" w:cs="Times New Roman"/>
          <w:sz w:val="20"/>
        </w:rPr>
        <w:t>g</w:t>
      </w:r>
      <w:r w:rsidRPr="001879F0">
        <w:rPr>
          <w:rFonts w:ascii="Times New Roman" w:hAnsi="Times New Roman" w:cs="Times New Roman"/>
          <w:sz w:val="20"/>
        </w:rPr>
        <w:t xml:space="preserve"> RAN2 and CT4</w:t>
      </w:r>
      <w:r>
        <w:rPr>
          <w:rFonts w:ascii="Times New Roman" w:hAnsi="Times New Roman" w:cs="Times New Roman"/>
          <w:sz w:val="20"/>
        </w:rPr>
        <w:t>, March 2019.</w:t>
      </w:r>
      <w:bookmarkEnd w:id="41"/>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42F1C" w14:textId="77777777" w:rsidR="00DA02D6" w:rsidRDefault="00DA02D6" w:rsidP="00ED42F4">
      <w:pPr>
        <w:spacing w:after="0"/>
      </w:pPr>
      <w:r>
        <w:separator/>
      </w:r>
    </w:p>
  </w:endnote>
  <w:endnote w:type="continuationSeparator" w:id="0">
    <w:p w14:paraId="6837233C" w14:textId="77777777" w:rsidR="00DA02D6" w:rsidRDefault="00DA02D6" w:rsidP="00ED4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B6764" w14:textId="77777777" w:rsidR="00DA02D6" w:rsidRDefault="00DA02D6" w:rsidP="00ED42F4">
      <w:pPr>
        <w:spacing w:after="0"/>
      </w:pPr>
      <w:r>
        <w:separator/>
      </w:r>
    </w:p>
  </w:footnote>
  <w:footnote w:type="continuationSeparator" w:id="0">
    <w:p w14:paraId="7C4903A4" w14:textId="77777777" w:rsidR="00DA02D6" w:rsidRDefault="00DA02D6" w:rsidP="00ED42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7A3"/>
    <w:multiLevelType w:val="hybridMultilevel"/>
    <w:tmpl w:val="0292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B675598"/>
    <w:multiLevelType w:val="hybridMultilevel"/>
    <w:tmpl w:val="C5D653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810AD1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D2F6CA5"/>
    <w:multiLevelType w:val="hybridMultilevel"/>
    <w:tmpl w:val="4912CF80"/>
    <w:lvl w:ilvl="0" w:tplc="CCBE121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06F82"/>
    <w:multiLevelType w:val="hybridMultilevel"/>
    <w:tmpl w:val="3D9A8594"/>
    <w:lvl w:ilvl="0" w:tplc="0F625D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7732A"/>
    <w:multiLevelType w:val="hybridMultilevel"/>
    <w:tmpl w:val="5A363A4E"/>
    <w:lvl w:ilvl="0" w:tplc="E74A8E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F783098"/>
    <w:multiLevelType w:val="hybridMultilevel"/>
    <w:tmpl w:val="8E8CFD10"/>
    <w:lvl w:ilvl="0" w:tplc="E7DC8BAA">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4E4B80"/>
    <w:multiLevelType w:val="hybridMultilevel"/>
    <w:tmpl w:val="BF442D54"/>
    <w:lvl w:ilvl="0" w:tplc="32763680">
      <w:start w:val="1"/>
      <w:numFmt w:val="bullet"/>
      <w:lvlText w:val="-"/>
      <w:lvlJc w:val="left"/>
      <w:pPr>
        <w:ind w:left="1440" w:hanging="360"/>
      </w:pPr>
      <w:rPr>
        <w:rFonts w:ascii="Courier New" w:hAnsi="Courier New" w:hint="default"/>
      </w:rPr>
    </w:lvl>
    <w:lvl w:ilvl="1" w:tplc="04090005">
      <w:start w:val="1"/>
      <w:numFmt w:val="bullet"/>
      <w:lvlText w:val=""/>
      <w:lvlJc w:val="left"/>
      <w:pPr>
        <w:ind w:left="2520" w:hanging="72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
  </w:num>
  <w:num w:numId="5">
    <w:abstractNumId w:val="9"/>
  </w:num>
  <w:num w:numId="6">
    <w:abstractNumId w:val="11"/>
  </w:num>
  <w:num w:numId="7">
    <w:abstractNumId w:val="1"/>
  </w:num>
  <w:num w:numId="8">
    <w:abstractNumId w:val="4"/>
  </w:num>
  <w:num w:numId="9">
    <w:abstractNumId w:val="8"/>
  </w:num>
  <w:num w:numId="10">
    <w:abstractNumId w:val="10"/>
  </w:num>
  <w:num w:numId="11">
    <w:abstractNumId w:val="15"/>
  </w:num>
  <w:num w:numId="12">
    <w:abstractNumId w:val="13"/>
  </w:num>
  <w:num w:numId="13">
    <w:abstractNumId w:val="6"/>
  </w:num>
  <w:num w:numId="14">
    <w:abstractNumId w:val="3"/>
  </w:num>
  <w:num w:numId="15">
    <w:abstractNumId w:val="12"/>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C6"/>
    <w:rsid w:val="000069D3"/>
    <w:rsid w:val="00010079"/>
    <w:rsid w:val="00011894"/>
    <w:rsid w:val="00013DE7"/>
    <w:rsid w:val="00016484"/>
    <w:rsid w:val="0003003D"/>
    <w:rsid w:val="000313FE"/>
    <w:rsid w:val="00037616"/>
    <w:rsid w:val="000540FE"/>
    <w:rsid w:val="00056567"/>
    <w:rsid w:val="00070606"/>
    <w:rsid w:val="00072D5C"/>
    <w:rsid w:val="00082A19"/>
    <w:rsid w:val="00083C72"/>
    <w:rsid w:val="00087378"/>
    <w:rsid w:val="00093BDF"/>
    <w:rsid w:val="000A3709"/>
    <w:rsid w:val="000A7E8C"/>
    <w:rsid w:val="000D47EA"/>
    <w:rsid w:val="000D63CF"/>
    <w:rsid w:val="000E6A2C"/>
    <w:rsid w:val="000F6115"/>
    <w:rsid w:val="00104F38"/>
    <w:rsid w:val="001069E2"/>
    <w:rsid w:val="00106EFC"/>
    <w:rsid w:val="0010706B"/>
    <w:rsid w:val="001100CB"/>
    <w:rsid w:val="00110C56"/>
    <w:rsid w:val="001125EA"/>
    <w:rsid w:val="001174EB"/>
    <w:rsid w:val="0011783E"/>
    <w:rsid w:val="00125CE0"/>
    <w:rsid w:val="00130B98"/>
    <w:rsid w:val="001764EA"/>
    <w:rsid w:val="001879F0"/>
    <w:rsid w:val="00197AF9"/>
    <w:rsid w:val="001A4ECB"/>
    <w:rsid w:val="001A520D"/>
    <w:rsid w:val="001B3AEB"/>
    <w:rsid w:val="001B45C8"/>
    <w:rsid w:val="001C5CD0"/>
    <w:rsid w:val="001D136B"/>
    <w:rsid w:val="001D1ADA"/>
    <w:rsid w:val="001E4A99"/>
    <w:rsid w:val="001F5CE9"/>
    <w:rsid w:val="001F757B"/>
    <w:rsid w:val="002011DE"/>
    <w:rsid w:val="0021018A"/>
    <w:rsid w:val="00212B13"/>
    <w:rsid w:val="0021439D"/>
    <w:rsid w:val="00224E62"/>
    <w:rsid w:val="0022516F"/>
    <w:rsid w:val="00226268"/>
    <w:rsid w:val="00226D1E"/>
    <w:rsid w:val="00231354"/>
    <w:rsid w:val="00234309"/>
    <w:rsid w:val="002445D9"/>
    <w:rsid w:val="00260F1F"/>
    <w:rsid w:val="0026121B"/>
    <w:rsid w:val="00270BDE"/>
    <w:rsid w:val="00273DD5"/>
    <w:rsid w:val="00275C9E"/>
    <w:rsid w:val="00280784"/>
    <w:rsid w:val="0028154C"/>
    <w:rsid w:val="0028633B"/>
    <w:rsid w:val="002B2520"/>
    <w:rsid w:val="002C2B15"/>
    <w:rsid w:val="002C45F0"/>
    <w:rsid w:val="002D7804"/>
    <w:rsid w:val="002D7E56"/>
    <w:rsid w:val="002E64FF"/>
    <w:rsid w:val="002E7EE6"/>
    <w:rsid w:val="002F029C"/>
    <w:rsid w:val="002F0720"/>
    <w:rsid w:val="002F1C7B"/>
    <w:rsid w:val="002F561D"/>
    <w:rsid w:val="003035B1"/>
    <w:rsid w:val="00303B0C"/>
    <w:rsid w:val="00303F7C"/>
    <w:rsid w:val="00310A34"/>
    <w:rsid w:val="00322456"/>
    <w:rsid w:val="00345DF9"/>
    <w:rsid w:val="00346AE8"/>
    <w:rsid w:val="00351ED6"/>
    <w:rsid w:val="00365558"/>
    <w:rsid w:val="003665E5"/>
    <w:rsid w:val="003731DA"/>
    <w:rsid w:val="0038083E"/>
    <w:rsid w:val="003917C0"/>
    <w:rsid w:val="003934F5"/>
    <w:rsid w:val="00393F1E"/>
    <w:rsid w:val="00395E4E"/>
    <w:rsid w:val="003A6AE5"/>
    <w:rsid w:val="003B00E5"/>
    <w:rsid w:val="003B4424"/>
    <w:rsid w:val="003B6B5C"/>
    <w:rsid w:val="003C07F9"/>
    <w:rsid w:val="003C11F8"/>
    <w:rsid w:val="003D0CCC"/>
    <w:rsid w:val="003D5F3E"/>
    <w:rsid w:val="003E0EC9"/>
    <w:rsid w:val="003E325A"/>
    <w:rsid w:val="003E74E2"/>
    <w:rsid w:val="003F75B2"/>
    <w:rsid w:val="0041181A"/>
    <w:rsid w:val="00414A29"/>
    <w:rsid w:val="0042215A"/>
    <w:rsid w:val="00426199"/>
    <w:rsid w:val="00436602"/>
    <w:rsid w:val="00436E2B"/>
    <w:rsid w:val="00442AA9"/>
    <w:rsid w:val="00443564"/>
    <w:rsid w:val="00466831"/>
    <w:rsid w:val="00470F10"/>
    <w:rsid w:val="004808BB"/>
    <w:rsid w:val="00482F5F"/>
    <w:rsid w:val="004854BF"/>
    <w:rsid w:val="00492B52"/>
    <w:rsid w:val="0049416A"/>
    <w:rsid w:val="004964CD"/>
    <w:rsid w:val="004A5B1F"/>
    <w:rsid w:val="004A6225"/>
    <w:rsid w:val="004A678A"/>
    <w:rsid w:val="004C2473"/>
    <w:rsid w:val="004C2FC5"/>
    <w:rsid w:val="004C6014"/>
    <w:rsid w:val="004D2CE3"/>
    <w:rsid w:val="004D5221"/>
    <w:rsid w:val="004F7B38"/>
    <w:rsid w:val="005018A1"/>
    <w:rsid w:val="00506D10"/>
    <w:rsid w:val="0051416A"/>
    <w:rsid w:val="00523112"/>
    <w:rsid w:val="00524491"/>
    <w:rsid w:val="00531F31"/>
    <w:rsid w:val="00550F48"/>
    <w:rsid w:val="00560BA3"/>
    <w:rsid w:val="00564868"/>
    <w:rsid w:val="00566F48"/>
    <w:rsid w:val="00576836"/>
    <w:rsid w:val="005802B4"/>
    <w:rsid w:val="00585F98"/>
    <w:rsid w:val="0058662E"/>
    <w:rsid w:val="005900F9"/>
    <w:rsid w:val="0059478D"/>
    <w:rsid w:val="005973BA"/>
    <w:rsid w:val="005A1BB2"/>
    <w:rsid w:val="005A5571"/>
    <w:rsid w:val="005B7BDD"/>
    <w:rsid w:val="005C195E"/>
    <w:rsid w:val="005D0B9C"/>
    <w:rsid w:val="005D11BF"/>
    <w:rsid w:val="005D409F"/>
    <w:rsid w:val="005E1539"/>
    <w:rsid w:val="005E3F21"/>
    <w:rsid w:val="005E5E8D"/>
    <w:rsid w:val="005F2968"/>
    <w:rsid w:val="005F2D99"/>
    <w:rsid w:val="005F7D99"/>
    <w:rsid w:val="00600302"/>
    <w:rsid w:val="00605267"/>
    <w:rsid w:val="00613126"/>
    <w:rsid w:val="006146E7"/>
    <w:rsid w:val="00633B89"/>
    <w:rsid w:val="00645211"/>
    <w:rsid w:val="006456DE"/>
    <w:rsid w:val="00645EEF"/>
    <w:rsid w:val="006528B4"/>
    <w:rsid w:val="006529BA"/>
    <w:rsid w:val="00654845"/>
    <w:rsid w:val="006609C2"/>
    <w:rsid w:val="00671C6B"/>
    <w:rsid w:val="00674460"/>
    <w:rsid w:val="0068333B"/>
    <w:rsid w:val="00683386"/>
    <w:rsid w:val="006858A1"/>
    <w:rsid w:val="006A791C"/>
    <w:rsid w:val="006B2F3A"/>
    <w:rsid w:val="006B7FEC"/>
    <w:rsid w:val="006D239A"/>
    <w:rsid w:val="006D51FF"/>
    <w:rsid w:val="006D5692"/>
    <w:rsid w:val="006E5586"/>
    <w:rsid w:val="00702959"/>
    <w:rsid w:val="00723F24"/>
    <w:rsid w:val="007342AA"/>
    <w:rsid w:val="0073676C"/>
    <w:rsid w:val="0074279D"/>
    <w:rsid w:val="007621EF"/>
    <w:rsid w:val="007667D2"/>
    <w:rsid w:val="00772E40"/>
    <w:rsid w:val="00781327"/>
    <w:rsid w:val="00782A16"/>
    <w:rsid w:val="007863F4"/>
    <w:rsid w:val="007973D4"/>
    <w:rsid w:val="00797AC0"/>
    <w:rsid w:val="007A080E"/>
    <w:rsid w:val="007A1AA2"/>
    <w:rsid w:val="007A43CF"/>
    <w:rsid w:val="007A5A25"/>
    <w:rsid w:val="007B0436"/>
    <w:rsid w:val="007B1B9E"/>
    <w:rsid w:val="007B1CAE"/>
    <w:rsid w:val="007C1082"/>
    <w:rsid w:val="007C6038"/>
    <w:rsid w:val="007D35CC"/>
    <w:rsid w:val="007D7188"/>
    <w:rsid w:val="007F2902"/>
    <w:rsid w:val="007F4E67"/>
    <w:rsid w:val="008035AA"/>
    <w:rsid w:val="008317AF"/>
    <w:rsid w:val="008359E9"/>
    <w:rsid w:val="00842EEB"/>
    <w:rsid w:val="0084333D"/>
    <w:rsid w:val="00852485"/>
    <w:rsid w:val="008627B6"/>
    <w:rsid w:val="008645F7"/>
    <w:rsid w:val="0086473B"/>
    <w:rsid w:val="00875049"/>
    <w:rsid w:val="008833D2"/>
    <w:rsid w:val="00892B0B"/>
    <w:rsid w:val="008B56A6"/>
    <w:rsid w:val="008C2A66"/>
    <w:rsid w:val="008C6613"/>
    <w:rsid w:val="008C7D7C"/>
    <w:rsid w:val="008D1987"/>
    <w:rsid w:val="008D5D89"/>
    <w:rsid w:val="008E0387"/>
    <w:rsid w:val="008E2923"/>
    <w:rsid w:val="008E3668"/>
    <w:rsid w:val="008F2C0F"/>
    <w:rsid w:val="00901136"/>
    <w:rsid w:val="00901A27"/>
    <w:rsid w:val="00905F96"/>
    <w:rsid w:val="00910BF3"/>
    <w:rsid w:val="0091236E"/>
    <w:rsid w:val="009155D0"/>
    <w:rsid w:val="0091639F"/>
    <w:rsid w:val="00916F62"/>
    <w:rsid w:val="0091736B"/>
    <w:rsid w:val="009218D8"/>
    <w:rsid w:val="0092694D"/>
    <w:rsid w:val="0092791C"/>
    <w:rsid w:val="0093417D"/>
    <w:rsid w:val="0093418F"/>
    <w:rsid w:val="00944053"/>
    <w:rsid w:val="009466E3"/>
    <w:rsid w:val="00954247"/>
    <w:rsid w:val="00955A0B"/>
    <w:rsid w:val="00956DFC"/>
    <w:rsid w:val="00957609"/>
    <w:rsid w:val="00961548"/>
    <w:rsid w:val="009626B8"/>
    <w:rsid w:val="00972C42"/>
    <w:rsid w:val="009771C4"/>
    <w:rsid w:val="00977369"/>
    <w:rsid w:val="00984820"/>
    <w:rsid w:val="009962D0"/>
    <w:rsid w:val="00997FEE"/>
    <w:rsid w:val="009A1420"/>
    <w:rsid w:val="009A4B8E"/>
    <w:rsid w:val="009A578F"/>
    <w:rsid w:val="009B5BFC"/>
    <w:rsid w:val="009B6CF5"/>
    <w:rsid w:val="009B78C4"/>
    <w:rsid w:val="009C7244"/>
    <w:rsid w:val="009C740E"/>
    <w:rsid w:val="009D4B48"/>
    <w:rsid w:val="009D5C05"/>
    <w:rsid w:val="00A02492"/>
    <w:rsid w:val="00A02598"/>
    <w:rsid w:val="00A02951"/>
    <w:rsid w:val="00A07E21"/>
    <w:rsid w:val="00A22322"/>
    <w:rsid w:val="00A31B3D"/>
    <w:rsid w:val="00A34A86"/>
    <w:rsid w:val="00A4565C"/>
    <w:rsid w:val="00A5197F"/>
    <w:rsid w:val="00A55307"/>
    <w:rsid w:val="00A65097"/>
    <w:rsid w:val="00A67781"/>
    <w:rsid w:val="00A7565D"/>
    <w:rsid w:val="00A839CE"/>
    <w:rsid w:val="00A8464A"/>
    <w:rsid w:val="00A91C9D"/>
    <w:rsid w:val="00A92D15"/>
    <w:rsid w:val="00A92F2F"/>
    <w:rsid w:val="00AA0708"/>
    <w:rsid w:val="00AC335E"/>
    <w:rsid w:val="00AD0208"/>
    <w:rsid w:val="00AD53DF"/>
    <w:rsid w:val="00AE5155"/>
    <w:rsid w:val="00AF006A"/>
    <w:rsid w:val="00AF7576"/>
    <w:rsid w:val="00B01789"/>
    <w:rsid w:val="00B02095"/>
    <w:rsid w:val="00B02FC5"/>
    <w:rsid w:val="00B033E4"/>
    <w:rsid w:val="00B071EA"/>
    <w:rsid w:val="00B1402C"/>
    <w:rsid w:val="00B21316"/>
    <w:rsid w:val="00B2380C"/>
    <w:rsid w:val="00B3018C"/>
    <w:rsid w:val="00B304C9"/>
    <w:rsid w:val="00B403E7"/>
    <w:rsid w:val="00B442B3"/>
    <w:rsid w:val="00B75FC6"/>
    <w:rsid w:val="00B8094F"/>
    <w:rsid w:val="00B85259"/>
    <w:rsid w:val="00B90AF7"/>
    <w:rsid w:val="00B97493"/>
    <w:rsid w:val="00BA115F"/>
    <w:rsid w:val="00BA4810"/>
    <w:rsid w:val="00BA63F7"/>
    <w:rsid w:val="00BB3B37"/>
    <w:rsid w:val="00BD4FF0"/>
    <w:rsid w:val="00BE47A4"/>
    <w:rsid w:val="00BF48D9"/>
    <w:rsid w:val="00BF6C6D"/>
    <w:rsid w:val="00BF73D8"/>
    <w:rsid w:val="00C058D9"/>
    <w:rsid w:val="00C250C7"/>
    <w:rsid w:val="00C32BE2"/>
    <w:rsid w:val="00C34AD7"/>
    <w:rsid w:val="00C46469"/>
    <w:rsid w:val="00C55851"/>
    <w:rsid w:val="00C67049"/>
    <w:rsid w:val="00C67581"/>
    <w:rsid w:val="00C77A90"/>
    <w:rsid w:val="00C810D3"/>
    <w:rsid w:val="00C8179C"/>
    <w:rsid w:val="00C82408"/>
    <w:rsid w:val="00C85F81"/>
    <w:rsid w:val="00C860B1"/>
    <w:rsid w:val="00C87B86"/>
    <w:rsid w:val="00C9033F"/>
    <w:rsid w:val="00C9133E"/>
    <w:rsid w:val="00C92CC1"/>
    <w:rsid w:val="00C93F91"/>
    <w:rsid w:val="00C941A0"/>
    <w:rsid w:val="00C967E9"/>
    <w:rsid w:val="00CB78A9"/>
    <w:rsid w:val="00CC0965"/>
    <w:rsid w:val="00CC272B"/>
    <w:rsid w:val="00CC7661"/>
    <w:rsid w:val="00CD2608"/>
    <w:rsid w:val="00CD27BD"/>
    <w:rsid w:val="00CF6998"/>
    <w:rsid w:val="00CF7BC6"/>
    <w:rsid w:val="00D02005"/>
    <w:rsid w:val="00D024C4"/>
    <w:rsid w:val="00D11508"/>
    <w:rsid w:val="00D11EBD"/>
    <w:rsid w:val="00D13020"/>
    <w:rsid w:val="00D149C8"/>
    <w:rsid w:val="00D15697"/>
    <w:rsid w:val="00D16713"/>
    <w:rsid w:val="00D20BCF"/>
    <w:rsid w:val="00D21EFE"/>
    <w:rsid w:val="00D326CE"/>
    <w:rsid w:val="00D41AE6"/>
    <w:rsid w:val="00D44DFC"/>
    <w:rsid w:val="00D501FF"/>
    <w:rsid w:val="00D52335"/>
    <w:rsid w:val="00D55A76"/>
    <w:rsid w:val="00D62E4F"/>
    <w:rsid w:val="00D63687"/>
    <w:rsid w:val="00D71BBC"/>
    <w:rsid w:val="00D72517"/>
    <w:rsid w:val="00D762F0"/>
    <w:rsid w:val="00D77CF8"/>
    <w:rsid w:val="00D811C9"/>
    <w:rsid w:val="00D84216"/>
    <w:rsid w:val="00D84CF6"/>
    <w:rsid w:val="00D865FA"/>
    <w:rsid w:val="00D937A4"/>
    <w:rsid w:val="00DA02D6"/>
    <w:rsid w:val="00DA039D"/>
    <w:rsid w:val="00DA2722"/>
    <w:rsid w:val="00DC100F"/>
    <w:rsid w:val="00DC2E87"/>
    <w:rsid w:val="00DC55F9"/>
    <w:rsid w:val="00DD67E3"/>
    <w:rsid w:val="00DF1CED"/>
    <w:rsid w:val="00DF21F1"/>
    <w:rsid w:val="00DF2363"/>
    <w:rsid w:val="00DF365B"/>
    <w:rsid w:val="00DF4C83"/>
    <w:rsid w:val="00DF4DB9"/>
    <w:rsid w:val="00DF7E0D"/>
    <w:rsid w:val="00E00B5D"/>
    <w:rsid w:val="00E24488"/>
    <w:rsid w:val="00E2671D"/>
    <w:rsid w:val="00E32C2B"/>
    <w:rsid w:val="00E35536"/>
    <w:rsid w:val="00E44DD9"/>
    <w:rsid w:val="00E50CDA"/>
    <w:rsid w:val="00E5642F"/>
    <w:rsid w:val="00E662A4"/>
    <w:rsid w:val="00E671E8"/>
    <w:rsid w:val="00E7099B"/>
    <w:rsid w:val="00E86D6B"/>
    <w:rsid w:val="00E97865"/>
    <w:rsid w:val="00EB2B02"/>
    <w:rsid w:val="00EB410E"/>
    <w:rsid w:val="00EC2113"/>
    <w:rsid w:val="00EC2EA0"/>
    <w:rsid w:val="00EC5F64"/>
    <w:rsid w:val="00ED21E1"/>
    <w:rsid w:val="00ED42F4"/>
    <w:rsid w:val="00ED453B"/>
    <w:rsid w:val="00ED5C2A"/>
    <w:rsid w:val="00ED7D99"/>
    <w:rsid w:val="00EE2A48"/>
    <w:rsid w:val="00EE34F2"/>
    <w:rsid w:val="00EE41E5"/>
    <w:rsid w:val="00EE48CC"/>
    <w:rsid w:val="00EE59F7"/>
    <w:rsid w:val="00EF1BE7"/>
    <w:rsid w:val="00EF3FE8"/>
    <w:rsid w:val="00F051CB"/>
    <w:rsid w:val="00F16C55"/>
    <w:rsid w:val="00F260AB"/>
    <w:rsid w:val="00F32341"/>
    <w:rsid w:val="00F37879"/>
    <w:rsid w:val="00F43BBA"/>
    <w:rsid w:val="00F43EBC"/>
    <w:rsid w:val="00F52D9F"/>
    <w:rsid w:val="00F630F6"/>
    <w:rsid w:val="00F73A55"/>
    <w:rsid w:val="00F75B3C"/>
    <w:rsid w:val="00F76A40"/>
    <w:rsid w:val="00F84281"/>
    <w:rsid w:val="00F940D3"/>
    <w:rsid w:val="00F964E7"/>
    <w:rsid w:val="00FA60F2"/>
    <w:rsid w:val="00FA7D09"/>
    <w:rsid w:val="00FB38DD"/>
    <w:rsid w:val="00FB3C53"/>
    <w:rsid w:val="00FC0647"/>
    <w:rsid w:val="00FC126C"/>
    <w:rsid w:val="00FC60E4"/>
    <w:rsid w:val="00FE4D83"/>
    <w:rsid w:val="00FE75C3"/>
    <w:rsid w:val="00FF6A58"/>
    <w:rsid w:val="2271BB53"/>
    <w:rsid w:val="62837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69E460DF-E6E9-4AB7-A45E-55EFB88FA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52311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112"/>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23112"/>
    <w:pPr>
      <w:ind w:left="720"/>
      <w:contextualSpacing/>
    </w:pPr>
  </w:style>
  <w:style w:type="table" w:styleId="TableGrid">
    <w:name w:val="Table Grid"/>
    <w:basedOn w:val="TableNormal"/>
    <w:uiPriority w:val="39"/>
    <w:rsid w:val="00485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0784"/>
    <w:rPr>
      <w:sz w:val="16"/>
      <w:szCs w:val="16"/>
    </w:rPr>
  </w:style>
  <w:style w:type="paragraph" w:styleId="CommentText">
    <w:name w:val="annotation text"/>
    <w:basedOn w:val="Normal"/>
    <w:link w:val="CommentTextChar"/>
    <w:uiPriority w:val="99"/>
    <w:semiHidden/>
    <w:unhideWhenUsed/>
    <w:rsid w:val="00280784"/>
  </w:style>
  <w:style w:type="character" w:customStyle="1" w:styleId="CommentTextChar">
    <w:name w:val="Comment Text Char"/>
    <w:basedOn w:val="DefaultParagraphFont"/>
    <w:link w:val="CommentText"/>
    <w:uiPriority w:val="99"/>
    <w:semiHidden/>
    <w:rsid w:val="0028078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280784"/>
    <w:rPr>
      <w:b/>
      <w:bCs/>
    </w:rPr>
  </w:style>
  <w:style w:type="character" w:customStyle="1" w:styleId="CommentSubjectChar">
    <w:name w:val="Comment Subject Char"/>
    <w:basedOn w:val="CommentTextChar"/>
    <w:link w:val="CommentSubject"/>
    <w:uiPriority w:val="99"/>
    <w:semiHidden/>
    <w:rsid w:val="00280784"/>
    <w:rPr>
      <w:rFonts w:ascii="Times New Roman" w:eastAsia="SimSun" w:hAnsi="Times New Roman"/>
      <w:b/>
      <w:bCs/>
    </w:rPr>
  </w:style>
  <w:style w:type="character" w:customStyle="1" w:styleId="CRCoverPageZchn">
    <w:name w:val="CR Cover Page Zchn"/>
    <w:link w:val="CRCoverPage"/>
    <w:rsid w:val="00F75B3C"/>
    <w:rPr>
      <w:rFonts w:ascii="Arial" w:eastAsia="MS Mincho" w:hAnsi="Arial"/>
      <w:lang w:val="en-GB"/>
    </w:rPr>
  </w:style>
  <w:style w:type="paragraph" w:customStyle="1" w:styleId="Doc-text2">
    <w:name w:val="Doc-text2"/>
    <w:basedOn w:val="Normal"/>
    <w:link w:val="Doc-text2Char"/>
    <w:qFormat/>
    <w:rsid w:val="00F75B3C"/>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75B3C"/>
    <w:rPr>
      <w:rFonts w:ascii="Arial" w:eastAsia="MS Mincho" w:hAnsi="Arial"/>
      <w:szCs w:val="24"/>
      <w:lang w:val="en-GB"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F029C"/>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3696">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9539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37F40-0971-49F8-B6BE-17AA1B52054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06565B5-E528-49B3-867B-EB027846022A}">
  <ds:schemaRefs>
    <ds:schemaRef ds:uri="http://schemas.microsoft.com/sharepoint/v3/contenttype/forms"/>
  </ds:schemaRefs>
</ds:datastoreItem>
</file>

<file path=customXml/itemProps3.xml><?xml version="1.0" encoding="utf-8"?>
<ds:datastoreItem xmlns:ds="http://schemas.openxmlformats.org/officeDocument/2006/customXml" ds:itemID="{FBA2656E-F02F-4782-AF0C-5867557DA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0396F-4EDD-4F79-B4F6-907C0B029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1047</Words>
  <Characters>5968</Characters>
  <Application>Microsoft Office Word</Application>
  <DocSecurity>0</DocSecurity>
  <Lines>49</Lines>
  <Paragraphs>14</Paragraphs>
  <ScaleCrop>false</ScaleCrop>
  <Company>Intel Corporation</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Intel-Yi1</cp:lastModifiedBy>
  <cp:revision>8</cp:revision>
  <dcterms:created xsi:type="dcterms:W3CDTF">2020-10-20T06:08:00Z</dcterms:created>
  <dcterms:modified xsi:type="dcterms:W3CDTF">2020-10-22T14:11:00Z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9ebe6a2c-0ebc-4872-95c7-851b7d7980b2</vt:lpwstr>
  </property>
  <property fmtid="{D5CDD505-2E9C-101B-9397-08002B2CF9AE}" pid="3" name="CTP_TimeStamp">
    <vt:lpwstr>2020-08-07 04:29:27Z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